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91626" w14:textId="77777777" w:rsidR="002466F1" w:rsidRPr="00E125C7" w:rsidRDefault="002466F1" w:rsidP="002466F1">
      <w:pPr>
        <w:ind w:left="212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ДО</w:t>
      </w:r>
    </w:p>
    <w:p w14:paraId="44D383E0" w14:textId="77777777" w:rsidR="00EA604F" w:rsidRPr="00E125C7" w:rsidRDefault="002466F1">
      <w:pPr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</w:p>
    <w:p w14:paraId="141989CD" w14:textId="7154C65D" w:rsidR="00FF1A24" w:rsidRPr="00E125C7" w:rsidRDefault="002466F1" w:rsidP="007D00BB">
      <w:pPr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color w:val="000000" w:themeColor="text1"/>
          <w:sz w:val="20"/>
          <w:szCs w:val="20"/>
        </w:rPr>
        <w:tab/>
      </w:r>
      <w:r w:rsidR="007D00BB" w:rsidRPr="00624AD8">
        <w:rPr>
          <w:rFonts w:ascii="Verdana" w:hAnsi="Verdana"/>
          <w:b/>
          <w:bCs/>
          <w:sz w:val="20"/>
          <w:szCs w:val="20"/>
          <w:lang w:val="bg-BG"/>
        </w:rPr>
        <w:t>„</w:t>
      </w:r>
      <w:proofErr w:type="spellStart"/>
      <w:r w:rsidR="007D00BB" w:rsidRPr="00624AD8">
        <w:rPr>
          <w:rFonts w:ascii="Verdana" w:hAnsi="Verdana"/>
          <w:b/>
          <w:bCs/>
          <w:sz w:val="20"/>
          <w:szCs w:val="20"/>
          <w:lang w:val="bg-BG"/>
        </w:rPr>
        <w:t>Юроком</w:t>
      </w:r>
      <w:proofErr w:type="spellEnd"/>
      <w:r w:rsidR="007D00BB" w:rsidRPr="00624AD8">
        <w:rPr>
          <w:rFonts w:ascii="Verdana" w:hAnsi="Verdana"/>
          <w:b/>
          <w:bCs/>
          <w:sz w:val="20"/>
          <w:szCs w:val="20"/>
          <w:lang w:val="bg-BG"/>
        </w:rPr>
        <w:t xml:space="preserve"> 2000“ ООД</w:t>
      </w:r>
    </w:p>
    <w:p w14:paraId="1378C70E" w14:textId="6F12B460" w:rsidR="00DA38DD" w:rsidRPr="00E125C7" w:rsidRDefault="00FF1A24" w:rsidP="00DA38DD">
      <w:pPr>
        <w:ind w:left="5664"/>
        <w:rPr>
          <w:rFonts w:ascii="Verdana" w:hAnsi="Verdana"/>
          <w:bCs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ЕИК:</w:t>
      </w:r>
      <w:r w:rsidR="00DA38DD" w:rsidRPr="00E125C7">
        <w:rPr>
          <w:rFonts w:ascii="Verdana" w:hAnsi="Verdana"/>
          <w:bCs/>
          <w:color w:val="000000" w:themeColor="text1"/>
          <w:sz w:val="20"/>
          <w:szCs w:val="20"/>
          <w:lang w:val="bg-BG"/>
        </w:rPr>
        <w:t xml:space="preserve"> </w:t>
      </w:r>
      <w:r w:rsidR="00037495" w:rsidRPr="00624AD8">
        <w:rPr>
          <w:rFonts w:ascii="Verdana" w:hAnsi="Verdana"/>
          <w:bCs/>
          <w:sz w:val="20"/>
          <w:szCs w:val="20"/>
          <w:lang w:val="bg-BG"/>
        </w:rPr>
        <w:t>130423154</w:t>
      </w:r>
    </w:p>
    <w:p w14:paraId="30956D2F" w14:textId="77777777" w:rsidR="00037495" w:rsidRDefault="00037495" w:rsidP="00037495">
      <w:pPr>
        <w:ind w:left="5664"/>
        <w:rPr>
          <w:rFonts w:ascii="Verdana" w:hAnsi="Verdana"/>
          <w:bCs/>
          <w:sz w:val="20"/>
          <w:szCs w:val="20"/>
          <w:lang w:val="bg-BG"/>
        </w:rPr>
      </w:pPr>
      <w:r w:rsidRPr="00624AD8">
        <w:rPr>
          <w:rFonts w:ascii="Verdana" w:hAnsi="Verdana"/>
          <w:bCs/>
          <w:sz w:val="20"/>
          <w:szCs w:val="20"/>
          <w:lang w:val="bg-BG"/>
        </w:rPr>
        <w:t>гр. София 1172, ул. „Никола Габровски“ № 1</w:t>
      </w:r>
    </w:p>
    <w:p w14:paraId="4C22BDDC" w14:textId="0C7007ED" w:rsidR="00DA38DD" w:rsidRPr="00E125C7" w:rsidRDefault="00DA38DD" w:rsidP="00FF1A24">
      <w:pPr>
        <w:ind w:left="4956" w:firstLine="708"/>
        <w:rPr>
          <w:rFonts w:ascii="Verdana" w:hAnsi="Verdana"/>
          <w:bCs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Т</w:t>
      </w:r>
      <w:r w:rsidR="00FF1A24"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ел</w:t>
      </w:r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/</w:t>
      </w:r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факс</w:t>
      </w:r>
      <w:r w:rsidRPr="00E125C7">
        <w:rPr>
          <w:rFonts w:ascii="Verdana" w:hAnsi="Verdana"/>
          <w:bCs/>
          <w:color w:val="000000" w:themeColor="text1"/>
          <w:sz w:val="20"/>
          <w:szCs w:val="20"/>
        </w:rPr>
        <w:t>:</w:t>
      </w:r>
      <w:r w:rsidR="00037495" w:rsidRPr="00037495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037495" w:rsidRPr="00624AD8">
        <w:rPr>
          <w:rFonts w:ascii="Verdana" w:hAnsi="Verdana"/>
          <w:bCs/>
          <w:sz w:val="20"/>
          <w:szCs w:val="20"/>
          <w:lang w:val="bg-BG"/>
        </w:rPr>
        <w:t>02 8005000</w:t>
      </w:r>
    </w:p>
    <w:p w14:paraId="7B96C984" w14:textId="5DFD9A78" w:rsidR="00FF1A24" w:rsidRPr="00E125C7" w:rsidRDefault="00FF1A24" w:rsidP="00FF1A24">
      <w:pPr>
        <w:ind w:left="4956" w:firstLine="708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e-</w:t>
      </w:r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mail: </w:t>
      </w:r>
      <w:hyperlink r:id="rId8" w:history="1">
        <w:r w:rsidR="00037495" w:rsidRPr="00037495">
          <w:rPr>
            <w:rFonts w:ascii="Verdana" w:hAnsi="Verdana"/>
            <w:bCs/>
            <w:color w:val="3366CC"/>
            <w:sz w:val="20"/>
            <w:szCs w:val="20"/>
            <w:u w:val="single"/>
          </w:rPr>
          <w:t>office@eurocom2000.net</w:t>
        </w:r>
      </w:hyperlink>
      <w:bookmarkStart w:id="0" w:name="_GoBack"/>
      <w:bookmarkEnd w:id="0"/>
    </w:p>
    <w:p w14:paraId="1C633B2E" w14:textId="38A7B00C" w:rsidR="002466F1" w:rsidRPr="00E125C7" w:rsidRDefault="002466F1" w:rsidP="00FF1A24">
      <w:pPr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25E206E4" w14:textId="77777777" w:rsidR="002466F1" w:rsidRPr="00E125C7" w:rsidRDefault="002466F1">
      <w:pPr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6B2F0EA0" w14:textId="77777777" w:rsidR="002466F1" w:rsidRPr="00E125C7" w:rsidRDefault="002466F1" w:rsidP="002466F1">
      <w:pPr>
        <w:pStyle w:val="Heading1"/>
        <w:ind w:left="2832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             ПОКАНА</w:t>
      </w:r>
    </w:p>
    <w:p w14:paraId="0750FA01" w14:textId="77777777" w:rsidR="002466F1" w:rsidRPr="00E125C7" w:rsidRDefault="002466F1" w:rsidP="002466F1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</w:p>
    <w:p w14:paraId="48939ECD" w14:textId="77777777" w:rsidR="002466F1" w:rsidRPr="00E125C7" w:rsidRDefault="002466F1" w:rsidP="002466F1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ЗА УЧАСТИЕ В ПРОЦЕДУРА ЗА ВЪЗЛАГАНЕ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Н</w:t>
      </w:r>
      <w:r w:rsidRPr="00E125C7">
        <w:rPr>
          <w:rFonts w:ascii="Verdana" w:hAnsi="Verdana"/>
          <w:b/>
          <w:color w:val="000000" w:themeColor="text1"/>
          <w:sz w:val="20"/>
          <w:szCs w:val="20"/>
        </w:rPr>
        <w:t>A ОБЩЕСТВЕНА ПОРЪЧКА ЧРЕЗ</w:t>
      </w:r>
    </w:p>
    <w:p w14:paraId="623FFF47" w14:textId="77777777" w:rsidR="002466F1" w:rsidRPr="00E125C7" w:rsidRDefault="002466F1" w:rsidP="002466F1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</w:rPr>
        <w:t>ДОГОВАРЯНЕ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С ПРЕДВАРИТЕЛНА ПОКАНА ЗА УЧАСТИЕ </w:t>
      </w:r>
      <w:r w:rsidRPr="00E125C7">
        <w:rPr>
          <w:rFonts w:ascii="Verdana" w:hAnsi="Verdana"/>
          <w:b/>
          <w:color w:val="000000" w:themeColor="text1"/>
          <w:sz w:val="20"/>
          <w:szCs w:val="20"/>
        </w:rPr>
        <w:t>С ПРЕДМЕТ:</w:t>
      </w:r>
    </w:p>
    <w:p w14:paraId="4C313AB5" w14:textId="77777777" w:rsidR="002466F1" w:rsidRPr="00E125C7" w:rsidRDefault="002466F1" w:rsidP="002466F1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</w:pPr>
    </w:p>
    <w:p w14:paraId="17A60B85" w14:textId="2A2CC87A" w:rsidR="0035105C" w:rsidRPr="00E125C7" w:rsidRDefault="0035105C" w:rsidP="0035105C">
      <w:pPr>
        <w:jc w:val="center"/>
        <w:rPr>
          <w:rFonts w:ascii="Verdana" w:hAnsi="Verdana"/>
          <w:b/>
          <w:color w:val="000000" w:themeColor="text1"/>
          <w:sz w:val="20"/>
          <w:szCs w:val="20"/>
          <w:lang w:eastAsia="bg-BG"/>
        </w:rPr>
      </w:pPr>
      <w:r w:rsidRPr="00E125C7">
        <w:rPr>
          <w:rStyle w:val="135pt"/>
          <w:rFonts w:ascii="Verdana" w:eastAsia="Arial Unicode MS" w:hAnsi="Verdana"/>
          <w:bCs/>
          <w:color w:val="000000" w:themeColor="text1"/>
          <w:sz w:val="20"/>
          <w:szCs w:val="20"/>
        </w:rPr>
        <w:t>„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Първи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етап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от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изграждане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система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за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интелигентно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измерване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потребление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”, в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рамките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квалификационна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система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с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предмет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: </w:t>
      </w:r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“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Доставка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компоненти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и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водомери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и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поетапно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изграждане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система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за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интелигентно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измерване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A3AE0" w:rsidRPr="00E125C7">
        <w:rPr>
          <w:rFonts w:ascii="Verdana" w:hAnsi="Verdana"/>
          <w:b/>
          <w:color w:val="000000" w:themeColor="text1"/>
          <w:sz w:val="20"/>
          <w:szCs w:val="20"/>
        </w:rPr>
        <w:t>потребление</w:t>
      </w:r>
      <w:proofErr w:type="spellEnd"/>
      <w:r w:rsidRPr="00E125C7">
        <w:rPr>
          <w:rFonts w:ascii="Verdana" w:hAnsi="Verdana"/>
          <w:b/>
          <w:color w:val="000000" w:themeColor="text1"/>
          <w:sz w:val="20"/>
          <w:szCs w:val="20"/>
        </w:rPr>
        <w:t>”</w:t>
      </w:r>
    </w:p>
    <w:p w14:paraId="5814B805" w14:textId="77777777" w:rsidR="002466F1" w:rsidRPr="00E125C7" w:rsidRDefault="002466F1" w:rsidP="002466F1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</w:pPr>
    </w:p>
    <w:p w14:paraId="2DE47554" w14:textId="77777777" w:rsidR="002466F1" w:rsidRPr="00E125C7" w:rsidRDefault="002466F1" w:rsidP="00605939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  <w:t>в рамките на квалификационна система с предмет:</w:t>
      </w:r>
    </w:p>
    <w:p w14:paraId="3075E55E" w14:textId="77777777" w:rsidR="00605939" w:rsidRPr="00E125C7" w:rsidRDefault="00605939" w:rsidP="00605939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</w:pPr>
    </w:p>
    <w:p w14:paraId="35ED166C" w14:textId="5DEDDD9A" w:rsidR="00605939" w:rsidRPr="00E125C7" w:rsidRDefault="00605939" w:rsidP="00605939">
      <w:pPr>
        <w:jc w:val="center"/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  <w:t>„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Доставка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компоненти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и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водомери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и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поетапно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изграждане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система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за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интелигентно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измерване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потреблението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  <w:t xml:space="preserve">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 w:eastAsia="bg-BG"/>
        </w:rPr>
        <w:t>”</w:t>
      </w:r>
    </w:p>
    <w:p w14:paraId="63820DD1" w14:textId="77777777" w:rsidR="007B5300" w:rsidRPr="00E125C7" w:rsidRDefault="007B5300" w:rsidP="007B5300">
      <w:pPr>
        <w:pStyle w:val="Heading21"/>
        <w:keepNext/>
        <w:keepLines/>
        <w:shd w:val="clear" w:color="auto" w:fill="auto"/>
        <w:spacing w:before="0" w:after="157" w:line="220" w:lineRule="exact"/>
        <w:ind w:firstLine="780"/>
        <w:rPr>
          <w:rFonts w:ascii="Verdana" w:hAnsi="Verdana"/>
          <w:color w:val="000000" w:themeColor="text1"/>
          <w:sz w:val="20"/>
          <w:szCs w:val="20"/>
        </w:rPr>
      </w:pPr>
      <w:bookmarkStart w:id="1" w:name="bookmark2"/>
    </w:p>
    <w:p w14:paraId="0F58E9F0" w14:textId="77777777" w:rsidR="007B5300" w:rsidRPr="00E125C7" w:rsidRDefault="007B5300" w:rsidP="007B5300">
      <w:pPr>
        <w:pStyle w:val="Heading21"/>
        <w:keepNext/>
        <w:keepLines/>
        <w:shd w:val="clear" w:color="auto" w:fill="auto"/>
        <w:spacing w:before="0" w:after="157" w:line="220" w:lineRule="exact"/>
        <w:ind w:firstLine="780"/>
        <w:rPr>
          <w:rFonts w:ascii="Verdana" w:hAnsi="Verdana"/>
          <w:color w:val="000000" w:themeColor="text1"/>
          <w:sz w:val="20"/>
          <w:szCs w:val="20"/>
        </w:rPr>
      </w:pPr>
    </w:p>
    <w:p w14:paraId="61135BF3" w14:textId="77777777" w:rsidR="007B5300" w:rsidRPr="00E125C7" w:rsidRDefault="007B5300" w:rsidP="007B5300">
      <w:pPr>
        <w:pStyle w:val="Heading21"/>
        <w:keepNext/>
        <w:keepLines/>
        <w:shd w:val="clear" w:color="auto" w:fill="auto"/>
        <w:spacing w:before="0" w:after="157" w:line="220" w:lineRule="exact"/>
        <w:ind w:firstLine="780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>УВАЖАЕМИ ДАМИ И ГОСПОДА,</w:t>
      </w:r>
      <w:bookmarkEnd w:id="1"/>
    </w:p>
    <w:p w14:paraId="3EBB6938" w14:textId="77777777" w:rsidR="007B5300" w:rsidRPr="00E125C7" w:rsidRDefault="007B5300" w:rsidP="007B5300">
      <w:pPr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36C0716C" w14:textId="77777777" w:rsidR="007B5300" w:rsidRPr="00E125C7" w:rsidRDefault="007B5300" w:rsidP="007B5300">
      <w:pPr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0FCBFB2D" w14:textId="34F97268" w:rsidR="007B5300" w:rsidRPr="00E125C7" w:rsidRDefault="007B5300" w:rsidP="00C665CD">
      <w:pPr>
        <w:pStyle w:val="Heading21"/>
        <w:keepNext/>
        <w:keepLines/>
        <w:shd w:val="clear" w:color="auto" w:fill="auto"/>
        <w:spacing w:before="0" w:after="0" w:line="276" w:lineRule="auto"/>
        <w:ind w:firstLine="782"/>
        <w:rPr>
          <w:rFonts w:ascii="Verdana" w:hAnsi="Verdana" w:cs="Times New Roman"/>
          <w:b w:val="0"/>
          <w:color w:val="000000" w:themeColor="text1"/>
          <w:sz w:val="20"/>
          <w:szCs w:val="20"/>
        </w:rPr>
      </w:pP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>На основание чл. 142, ал. 1, във връзка с чл. 135, ал.4 от ЗОП, Решение № ....................</w:t>
      </w:r>
      <w:r w:rsidRPr="00E125C7">
        <w:rPr>
          <w:rStyle w:val="Bodytext2Spacing1pt"/>
          <w:rFonts w:ascii="Verdana" w:hAnsi="Verdana" w:cs="Times New Roman"/>
          <w:b w:val="0"/>
          <w:color w:val="000000" w:themeColor="text1"/>
          <w:sz w:val="20"/>
          <w:szCs w:val="20"/>
        </w:rPr>
        <w:t>/........................20</w:t>
      </w:r>
      <w:r w:rsidR="00F21404" w:rsidRPr="00E125C7">
        <w:rPr>
          <w:rStyle w:val="Bodytext2Spacing1pt"/>
          <w:rFonts w:ascii="Verdana" w:hAnsi="Verdana" w:cs="Times New Roman"/>
          <w:b w:val="0"/>
          <w:color w:val="000000" w:themeColor="text1"/>
          <w:sz w:val="20"/>
          <w:szCs w:val="20"/>
          <w:lang w:val="en-US"/>
        </w:rPr>
        <w:t xml:space="preserve">20 </w:t>
      </w:r>
      <w:r w:rsidRPr="00E125C7">
        <w:rPr>
          <w:rStyle w:val="Bodytext2Spacing1pt"/>
          <w:rFonts w:ascii="Verdana" w:hAnsi="Verdana" w:cs="Times New Roman"/>
          <w:b w:val="0"/>
          <w:color w:val="000000" w:themeColor="text1"/>
          <w:sz w:val="20"/>
          <w:szCs w:val="20"/>
        </w:rPr>
        <w:t xml:space="preserve">г. на </w:t>
      </w:r>
      <w:r w:rsidRPr="00E125C7">
        <w:rPr>
          <w:rStyle w:val="Bodytext5NotBold"/>
          <w:rFonts w:ascii="Verdana" w:hAnsi="Verdana" w:cs="Times New Roman"/>
          <w:bCs/>
          <w:color w:val="000000" w:themeColor="text1"/>
          <w:sz w:val="20"/>
          <w:szCs w:val="20"/>
        </w:rPr>
        <w:t>Възложителя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 и Раздел V</w:t>
      </w:r>
      <w:r w:rsidR="0003196B"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>I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 Възлагане на поръчки чрез КС</w:t>
      </w:r>
      <w:r w:rsidR="0003196B"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 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>от документацията за участие в Квалификационна система за избор на изпълнители с предмет:</w:t>
      </w:r>
      <w:r w:rsidR="00605939" w:rsidRPr="00E125C7">
        <w:rPr>
          <w:rFonts w:ascii="Verdana" w:eastAsia="Times New Roman" w:hAnsi="Verdana" w:cs="Times New Roman"/>
          <w:b w:val="0"/>
          <w:color w:val="000000" w:themeColor="text1"/>
          <w:sz w:val="20"/>
          <w:szCs w:val="20"/>
          <w:lang w:eastAsia="bg-BG"/>
        </w:rPr>
        <w:t xml:space="preserve"> „</w:t>
      </w:r>
      <w:r w:rsidR="00F21404" w:rsidRPr="00E125C7">
        <w:rPr>
          <w:rFonts w:ascii="Verdana" w:hAnsi="Verdana"/>
          <w:b w:val="0"/>
          <w:color w:val="000000" w:themeColor="text1"/>
          <w:sz w:val="20"/>
          <w:szCs w:val="20"/>
          <w:lang w:eastAsia="bg-BG"/>
        </w:rPr>
        <w:t>Доставка на</w:t>
      </w:r>
      <w:r w:rsidR="00F21404" w:rsidRPr="00E125C7">
        <w:rPr>
          <w:rFonts w:ascii="Verdana" w:hAnsi="Verdana"/>
          <w:b w:val="0"/>
          <w:color w:val="000000" w:themeColor="text1"/>
          <w:sz w:val="20"/>
          <w:szCs w:val="20"/>
          <w:lang w:val="en-US" w:eastAsia="bg-BG"/>
        </w:rPr>
        <w:t xml:space="preserve"> </w:t>
      </w:r>
      <w:r w:rsidR="00F21404" w:rsidRPr="00E125C7">
        <w:rPr>
          <w:rFonts w:ascii="Verdana" w:hAnsi="Verdana"/>
          <w:b w:val="0"/>
          <w:color w:val="000000" w:themeColor="text1"/>
          <w:sz w:val="20"/>
          <w:szCs w:val="20"/>
          <w:lang w:eastAsia="bg-BG"/>
        </w:rPr>
        <w:t>компоненти и водомери и поетапно изграждане на система за интелигентно измерване на потреблението</w:t>
      </w:r>
      <w:r w:rsidR="00605939" w:rsidRPr="00E125C7">
        <w:rPr>
          <w:rFonts w:ascii="Verdana" w:eastAsia="Times New Roman" w:hAnsi="Verdana" w:cs="Times New Roman"/>
          <w:b w:val="0"/>
          <w:color w:val="000000" w:themeColor="text1"/>
          <w:sz w:val="20"/>
          <w:szCs w:val="20"/>
          <w:lang w:eastAsia="bg-BG"/>
        </w:rPr>
        <w:t>“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, 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  <w:lang w:eastAsia="bg-BG"/>
        </w:rPr>
        <w:t>„Софийска вода“ АД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 отправя покана за участие в процедура на </w:t>
      </w:r>
      <w:r w:rsidRPr="00E125C7">
        <w:rPr>
          <w:rStyle w:val="Bodytext5NotBold"/>
          <w:rFonts w:ascii="Verdana" w:hAnsi="Verdana" w:cs="Times New Roman"/>
          <w:bCs/>
          <w:color w:val="000000" w:themeColor="text1"/>
          <w:sz w:val="20"/>
          <w:szCs w:val="20"/>
        </w:rPr>
        <w:t>договаряне с предварителна покана за участие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 с предмет: </w:t>
      </w:r>
      <w:r w:rsidR="00C665CD" w:rsidRPr="00E125C7">
        <w:rPr>
          <w:rStyle w:val="135pt"/>
          <w:rFonts w:ascii="Verdana" w:eastAsia="Arial Unicode MS" w:hAnsi="Verdana" w:cs="Times New Roman"/>
          <w:b/>
          <w:bCs/>
          <w:color w:val="000000" w:themeColor="text1"/>
          <w:sz w:val="20"/>
          <w:szCs w:val="20"/>
        </w:rPr>
        <w:t>„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Първи етап от изграждане на система за интелигентно измерване на потребление”, в рамките на квалификационна система с предмет: </w:t>
      </w:r>
      <w:r w:rsidR="00F21404" w:rsidRPr="00E125C7">
        <w:rPr>
          <w:rFonts w:ascii="Verdana" w:hAnsi="Verdana"/>
          <w:color w:val="000000" w:themeColor="text1"/>
          <w:sz w:val="20"/>
          <w:szCs w:val="20"/>
        </w:rPr>
        <w:t>“Доставка на компоненти и водомери и поетапно изграждане на система за интелигентно измерване на потребление</w:t>
      </w:r>
      <w:r w:rsidR="00605939" w:rsidRPr="00E125C7">
        <w:rPr>
          <w:rStyle w:val="135pt"/>
          <w:rFonts w:ascii="Verdana" w:eastAsia="Arial Unicode MS" w:hAnsi="Verdana" w:cs="Times New Roman"/>
          <w:b/>
          <w:bCs/>
          <w:color w:val="000000" w:themeColor="text1"/>
          <w:sz w:val="20"/>
          <w:szCs w:val="20"/>
        </w:rPr>
        <w:t>“</w:t>
      </w:r>
      <w:r w:rsidRPr="00E125C7">
        <w:rPr>
          <w:rFonts w:ascii="Verdana" w:hAnsi="Verdana" w:cs="Times New Roman"/>
          <w:b w:val="0"/>
          <w:color w:val="000000" w:themeColor="text1"/>
          <w:sz w:val="20"/>
          <w:szCs w:val="20"/>
        </w:rPr>
        <w:t xml:space="preserve">. </w:t>
      </w:r>
    </w:p>
    <w:p w14:paraId="1F6FB701" w14:textId="77777777" w:rsidR="002466F1" w:rsidRPr="00E125C7" w:rsidRDefault="002466F1">
      <w:pPr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1BCC6A0C" w14:textId="77D5AA06" w:rsidR="00C665CD" w:rsidRPr="00E125C7" w:rsidRDefault="007B5300" w:rsidP="00C665CD">
      <w:pPr>
        <w:jc w:val="both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1.Предмет на обществената поръчка: </w:t>
      </w:r>
      <w:r w:rsidR="00C665CD" w:rsidRPr="00E125C7">
        <w:rPr>
          <w:rStyle w:val="135pt"/>
          <w:rFonts w:ascii="Verdana" w:eastAsia="Arial Unicode MS" w:hAnsi="Verdana"/>
          <w:bCs/>
          <w:color w:val="000000" w:themeColor="text1"/>
          <w:sz w:val="20"/>
          <w:szCs w:val="20"/>
          <w:lang w:val="bg-BG"/>
        </w:rPr>
        <w:t>„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Първи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етап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от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изграждане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система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за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интелигентно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измерване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потребление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”, в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рамките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квалификационна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система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 с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>предмет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eastAsia="bg-BG"/>
        </w:rPr>
        <w:t xml:space="preserve">: </w:t>
      </w:r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“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Доставка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компоненти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и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водомери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и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поетапно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изграждане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система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за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интелигентно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измерване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на</w:t>
      </w:r>
      <w:proofErr w:type="spellEnd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потребление</w:t>
      </w:r>
      <w:proofErr w:type="spellEnd"/>
      <w:r w:rsidR="00C665CD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”.</w:t>
      </w:r>
      <w:r w:rsidR="00F14FC6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</w:t>
      </w:r>
    </w:p>
    <w:p w14:paraId="0C0D092E" w14:textId="77777777" w:rsidR="00C665CD" w:rsidRPr="00E125C7" w:rsidRDefault="00C665CD" w:rsidP="00C665CD">
      <w:pPr>
        <w:jc w:val="both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</w:p>
    <w:p w14:paraId="6B25F3BD" w14:textId="77777777" w:rsidR="007B5300" w:rsidRPr="00E125C7" w:rsidRDefault="00C665CD" w:rsidP="00C665CD">
      <w:pPr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2. </w:t>
      </w:r>
      <w:r w:rsidR="007B5300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Вид на процедурата:</w:t>
      </w:r>
      <w:r w:rsidR="007B5300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="007B5300" w:rsidRPr="00E125C7">
        <w:rPr>
          <w:rStyle w:val="Bodytext5NotBold"/>
          <w:rFonts w:ascii="Verdana" w:hAnsi="Verdana"/>
          <w:b w:val="0"/>
          <w:bCs/>
          <w:color w:val="000000" w:themeColor="text1"/>
          <w:sz w:val="20"/>
          <w:szCs w:val="20"/>
        </w:rPr>
        <w:t>договаряне с предварителна покана за участие</w:t>
      </w:r>
      <w:r w:rsidR="007B5300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7B5300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по Квалификационна система.</w:t>
      </w:r>
    </w:p>
    <w:p w14:paraId="2A04852F" w14:textId="77777777" w:rsidR="00C665CD" w:rsidRPr="00E125C7" w:rsidRDefault="00C665CD" w:rsidP="00C665CD">
      <w:pPr>
        <w:pStyle w:val="ListParagraph"/>
        <w:tabs>
          <w:tab w:val="left" w:pos="284"/>
        </w:tabs>
        <w:ind w:left="0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0A7628BB" w14:textId="160D22B7" w:rsidR="007B5300" w:rsidRPr="00E125C7" w:rsidRDefault="007B5300" w:rsidP="00C665CD">
      <w:pPr>
        <w:pStyle w:val="ListParagraph"/>
        <w:numPr>
          <w:ilvl w:val="0"/>
          <w:numId w:val="6"/>
        </w:numPr>
        <w:tabs>
          <w:tab w:val="left" w:pos="284"/>
        </w:tabs>
        <w:ind w:left="0" w:firstLine="0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Място за изпълнение на обществената поръчка: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="00C665CD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територията на област </w:t>
      </w:r>
      <w:r w:rsidR="002A41E3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София град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;</w:t>
      </w:r>
    </w:p>
    <w:p w14:paraId="4A5312CA" w14:textId="77777777" w:rsidR="00F21404" w:rsidRPr="00E125C7" w:rsidRDefault="00F21404" w:rsidP="00F21404">
      <w:pPr>
        <w:pStyle w:val="ListParagraph"/>
        <w:keepLines/>
        <w:tabs>
          <w:tab w:val="left" w:pos="426"/>
        </w:tabs>
        <w:spacing w:before="60"/>
        <w:ind w:left="0"/>
        <w:contextualSpacing w:val="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1945C347" w14:textId="51191C80" w:rsidR="00F21404" w:rsidRPr="00E125C7" w:rsidRDefault="006A5E7D" w:rsidP="00F21404">
      <w:pPr>
        <w:pStyle w:val="ListParagraph"/>
        <w:keepLines/>
        <w:tabs>
          <w:tab w:val="left" w:pos="426"/>
        </w:tabs>
        <w:spacing w:before="60"/>
        <w:ind w:left="0"/>
        <w:contextualSpacing w:val="0"/>
        <w:jc w:val="both"/>
        <w:rPr>
          <w:rFonts w:ascii="Verdana" w:hAnsi="Verdana" w:cs="Arial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lastRenderedPageBreak/>
        <w:t xml:space="preserve">4. </w:t>
      </w:r>
      <w:r w:rsidR="007B5300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Прогнозна стойност на обществената поръчка: 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Прогнозната стойност на обществената поръчка е в размер на </w:t>
      </w:r>
      <w:r w:rsidR="00E125C7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11 </w:t>
      </w:r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000 000 </w:t>
      </w:r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(</w:t>
      </w:r>
      <w:r w:rsidR="00E125C7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единадесет </w:t>
      </w:r>
      <w:r w:rsidR="00F21404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милиона</w:t>
      </w:r>
      <w:r w:rsidR="00F21404" w:rsidRPr="00E125C7">
        <w:rPr>
          <w:rFonts w:ascii="Verdana" w:hAnsi="Verdana"/>
          <w:b/>
          <w:color w:val="000000" w:themeColor="text1"/>
          <w:sz w:val="20"/>
          <w:szCs w:val="20"/>
        </w:rPr>
        <w:t>)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лева без включен ДДС,</w:t>
      </w:r>
      <w:r w:rsidR="00F21404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 xml:space="preserve"> </w:t>
      </w:r>
      <w:r w:rsidR="00E125C7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 xml:space="preserve">от които </w:t>
      </w:r>
      <w:r w:rsidR="00E125C7" w:rsidRPr="00E125C7">
        <w:rPr>
          <w:rFonts w:ascii="Verdana" w:hAnsi="Verdana" w:cs="Arial"/>
          <w:b/>
          <w:color w:val="000000" w:themeColor="text1"/>
          <w:sz w:val="20"/>
          <w:szCs w:val="20"/>
          <w:lang w:val="bg-BG"/>
        </w:rPr>
        <w:t>2 000 000 (два милиона)</w:t>
      </w:r>
      <w:r w:rsidR="00E125C7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 xml:space="preserve"> лева без ДДС е</w:t>
      </w:r>
      <w:r w:rsidR="00F21404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 xml:space="preserve"> стойността на </w:t>
      </w:r>
      <w:r w:rsidR="00E125C7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>опцията за допълнително поръчване на стоки, предмет на договора в случай на изчерпване на стойността в срока на договора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  <w:r w:rsidR="00F21404" w:rsidRPr="00E125C7">
        <w:rPr>
          <w:rFonts w:ascii="Verdana" w:hAnsi="Verdana" w:cs="Arial"/>
          <w:color w:val="000000" w:themeColor="text1"/>
          <w:sz w:val="20"/>
          <w:szCs w:val="20"/>
          <w:lang w:val="bg-BG"/>
        </w:rPr>
        <w:t xml:space="preserve"> </w:t>
      </w:r>
    </w:p>
    <w:p w14:paraId="1CC6A11E" w14:textId="0312DF88" w:rsidR="00AA67EB" w:rsidRPr="00E125C7" w:rsidRDefault="00AA67EB" w:rsidP="00F21404">
      <w:pPr>
        <w:tabs>
          <w:tab w:val="left" w:pos="284"/>
        </w:tabs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0B1FC482" w14:textId="16E0E379" w:rsidR="007B5300" w:rsidRPr="00E125C7" w:rsidRDefault="007B5300" w:rsidP="007B5300">
      <w:pPr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5. Условия за изпълнението на обществената поръчка:</w:t>
      </w:r>
      <w:r w:rsidRPr="00E125C7">
        <w:rPr>
          <w:rFonts w:ascii="Verdana" w:hAnsi="Verdana"/>
          <w:b/>
          <w:i/>
          <w:color w:val="000000" w:themeColor="text1"/>
          <w:sz w:val="20"/>
          <w:szCs w:val="20"/>
          <w:lang w:val="bg-BG"/>
        </w:rPr>
        <w:t xml:space="preserve"> 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Дейностите и стоките, предмет на доставка</w:t>
      </w:r>
      <w:r w:rsidR="00C665CD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и изискванията към изпълнението на поръчката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са </w:t>
      </w:r>
      <w:r w:rsidR="00C665CD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посочени в</w:t>
      </w:r>
      <w:r w:rsidR="002A41E3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техническата спецификация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на Възложителя. </w:t>
      </w:r>
    </w:p>
    <w:p w14:paraId="5CC26313" w14:textId="77777777" w:rsidR="00E94EAF" w:rsidRPr="00E125C7" w:rsidRDefault="00E94EAF" w:rsidP="00E94EAF">
      <w:pPr>
        <w:spacing w:line="300" w:lineRule="exact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</w:p>
    <w:p w14:paraId="285FC46B" w14:textId="4A0C29C2" w:rsidR="00E94EAF" w:rsidRPr="00E125C7" w:rsidRDefault="00E94EAF" w:rsidP="00E94EAF">
      <w:pPr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6. Срок </w:t>
      </w:r>
      <w:r w:rsidR="00071C0F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на </w:t>
      </w:r>
      <w:r w:rsidR="00C665CD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договора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: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</w:t>
      </w:r>
      <w:r w:rsidR="00C665CD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Срокът за изпълнение н</w:t>
      </w:r>
      <w:r w:rsidR="00904EBE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а договора е </w:t>
      </w:r>
      <w:r w:rsidR="006A5E7D" w:rsidRPr="00E125C7">
        <w:rPr>
          <w:rFonts w:ascii="Verdana" w:hAnsi="Verdana"/>
          <w:color w:val="000000" w:themeColor="text1"/>
          <w:sz w:val="20"/>
          <w:szCs w:val="20"/>
          <w:lang w:val="bg-BG"/>
        </w:rPr>
        <w:t>5</w:t>
      </w:r>
      <w:r w:rsidR="00904EBE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(</w:t>
      </w:r>
      <w:r w:rsidR="006A5E7D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пет</w:t>
      </w:r>
      <w:r w:rsidR="00904EBE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) години, считано от датата на подписване на </w:t>
      </w:r>
      <w:r w:rsidR="00F2140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договора</w:t>
      </w:r>
      <w:r w:rsidR="00904EBE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  <w:r w:rsidR="00AF2BDC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</w:p>
    <w:p w14:paraId="43048DD8" w14:textId="77777777" w:rsidR="00687101" w:rsidRPr="00E125C7" w:rsidRDefault="00687101" w:rsidP="00687101">
      <w:pPr>
        <w:spacing w:line="300" w:lineRule="exact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</w:p>
    <w:p w14:paraId="388BDE06" w14:textId="7CC4937C" w:rsidR="00687101" w:rsidRPr="00E125C7" w:rsidRDefault="00687101" w:rsidP="008F521A">
      <w:pPr>
        <w:tabs>
          <w:tab w:val="left" w:pos="284"/>
        </w:tabs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7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Срок на доставка и изпълнение:</w:t>
      </w:r>
      <w:r w:rsidRPr="00E125C7">
        <w:rPr>
          <w:rFonts w:ascii="Verdana" w:hAnsi="Verdana"/>
          <w:b/>
          <w:i/>
          <w:color w:val="000000" w:themeColor="text1"/>
          <w:sz w:val="20"/>
          <w:szCs w:val="20"/>
          <w:u w:val="single"/>
          <w:lang w:val="bg-BG"/>
        </w:rPr>
        <w:t xml:space="preserve">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Участниците предлагат срок за </w:t>
      </w:r>
      <w:r w:rsidR="00071C0F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доставка/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изпълнение в календарни дни съгласно образеца на първоначалната оферта. </w:t>
      </w:r>
    </w:p>
    <w:p w14:paraId="172C0BBD" w14:textId="77777777" w:rsidR="00687101" w:rsidRPr="00E125C7" w:rsidRDefault="00687101" w:rsidP="00687101">
      <w:pPr>
        <w:pStyle w:val="ListParagraph"/>
        <w:ind w:left="0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</w:p>
    <w:p w14:paraId="13410B6C" w14:textId="44E3DCF4" w:rsidR="00687101" w:rsidRPr="00E125C7" w:rsidRDefault="00687101" w:rsidP="00687101">
      <w:pPr>
        <w:pStyle w:val="ListParagraph"/>
        <w:ind w:left="0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8.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Гаранционен</w:t>
      </w:r>
      <w:proofErr w:type="spellEnd"/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срок</w:t>
      </w:r>
      <w:proofErr w:type="spellEnd"/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: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Участниците предлагат гаранционен срок на изпълнените дейности и доставените стоки в месеци. </w:t>
      </w:r>
    </w:p>
    <w:p w14:paraId="7CFF01A7" w14:textId="77777777" w:rsidR="006E22C3" w:rsidRPr="00E125C7" w:rsidRDefault="006E22C3" w:rsidP="00E94EAF">
      <w:pPr>
        <w:pStyle w:val="ListParagraph"/>
        <w:ind w:left="0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</w:p>
    <w:p w14:paraId="5DEF5A21" w14:textId="6B2BAEB3" w:rsidR="006E22C3" w:rsidRPr="00E125C7" w:rsidRDefault="006E22C3" w:rsidP="006E22C3">
      <w:pPr>
        <w:pStyle w:val="BodyText"/>
        <w:spacing w:after="0" w:line="300" w:lineRule="exact"/>
        <w:ind w:left="180" w:hanging="7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       </w:t>
      </w:r>
      <w:r w:rsidR="00687101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9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Вид и размер на гаранцията за изпълнение: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</w:p>
    <w:p w14:paraId="42618492" w14:textId="0BDFEA2E" w:rsidR="006E22C3" w:rsidRPr="00E125C7" w:rsidRDefault="006E22C3" w:rsidP="006E22C3">
      <w:pPr>
        <w:pStyle w:val="BodyText"/>
        <w:spacing w:after="0"/>
        <w:ind w:firstLine="54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изпълнение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размер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2A41E3" w:rsidRPr="00E125C7">
        <w:rPr>
          <w:rFonts w:ascii="Verdana" w:hAnsi="Verdana"/>
          <w:color w:val="000000" w:themeColor="text1"/>
          <w:sz w:val="20"/>
          <w:szCs w:val="20"/>
          <w:lang w:val="bg-BG"/>
        </w:rPr>
        <w:t>2</w:t>
      </w:r>
      <w:r w:rsidRPr="00E125C7">
        <w:rPr>
          <w:rFonts w:ascii="Verdana" w:hAnsi="Verdana"/>
          <w:color w:val="000000" w:themeColor="text1"/>
          <w:sz w:val="20"/>
          <w:szCs w:val="20"/>
        </w:rPr>
        <w:t xml:space="preserve"> % /</w:t>
      </w:r>
      <w:r w:rsidR="002A41E3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две</w:t>
      </w:r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/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стойността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432FD8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без стойността на опцията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без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ДДС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сключването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му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една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следните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форми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:</w:t>
      </w:r>
    </w:p>
    <w:p w14:paraId="3227B40D" w14:textId="6B7C58E2" w:rsidR="006E22C3" w:rsidRPr="00E125C7" w:rsidRDefault="006E22C3" w:rsidP="006E22C3">
      <w:pPr>
        <w:pStyle w:val="BodyText"/>
        <w:numPr>
          <w:ilvl w:val="0"/>
          <w:numId w:val="3"/>
        </w:numPr>
        <w:tabs>
          <w:tab w:val="left" w:pos="567"/>
        </w:tabs>
        <w:spacing w:after="0"/>
        <w:ind w:left="0" w:firstLine="30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Неотменима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безусловна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изискуема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първо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писмено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поискване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което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заяв</w:t>
      </w:r>
      <w:r w:rsidR="00D95648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ява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че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задължение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възлагане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обществената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поръчка</w:t>
      </w:r>
      <w:proofErr w:type="spellEnd"/>
      <w:r w:rsidR="00D95648" w:rsidRPr="00E125C7">
        <w:rPr>
          <w:rFonts w:ascii="Verdana" w:hAnsi="Verdana"/>
          <w:color w:val="000000" w:themeColor="text1"/>
          <w:sz w:val="20"/>
          <w:szCs w:val="20"/>
          <w:lang w:val="bg-BG"/>
        </w:rPr>
        <w:t>,</w:t>
      </w:r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със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срок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валидност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30 /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тридесет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/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след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изтичане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срока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;</w:t>
      </w:r>
    </w:p>
    <w:p w14:paraId="3833167D" w14:textId="46C98165" w:rsidR="006E22C3" w:rsidRPr="00E125C7" w:rsidRDefault="00FB7ABB" w:rsidP="006E22C3">
      <w:pPr>
        <w:pStyle w:val="BodyText"/>
        <w:numPr>
          <w:ilvl w:val="0"/>
          <w:numId w:val="3"/>
        </w:numPr>
        <w:tabs>
          <w:tab w:val="left" w:pos="567"/>
        </w:tabs>
        <w:spacing w:after="0"/>
        <w:ind w:left="0" w:firstLine="3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Парична сума, преведена по банков път на сметка на "Софийска вода" АД в „Експресбанк“ АД, IBAN: BG28 TTBB 9400 1523 0569 25, BIC:TTBB BG22, като в основанието се посочват номера на процедурата</w:t>
      </w:r>
      <w:r w:rsidR="006E22C3" w:rsidRPr="00E125C7">
        <w:rPr>
          <w:rFonts w:ascii="Verdana" w:hAnsi="Verdana"/>
          <w:color w:val="000000" w:themeColor="text1"/>
          <w:sz w:val="20"/>
          <w:szCs w:val="20"/>
        </w:rPr>
        <w:t>;</w:t>
      </w:r>
    </w:p>
    <w:p w14:paraId="1AF282FE" w14:textId="77777777" w:rsidR="006E22C3" w:rsidRPr="00E125C7" w:rsidRDefault="006E22C3" w:rsidP="006E22C3">
      <w:pPr>
        <w:pStyle w:val="BodyText"/>
        <w:numPr>
          <w:ilvl w:val="0"/>
          <w:numId w:val="3"/>
        </w:numPr>
        <w:tabs>
          <w:tab w:val="left" w:pos="567"/>
        </w:tabs>
        <w:spacing w:after="0"/>
        <w:ind w:left="0" w:firstLine="30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която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обезпечава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изпълнението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чрез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покритие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отговорността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</w:p>
    <w:p w14:paraId="72041FD9" w14:textId="77777777" w:rsidR="008C6DD9" w:rsidRPr="00E125C7" w:rsidRDefault="008C6DD9" w:rsidP="008C6DD9">
      <w:pPr>
        <w:keepLines/>
        <w:spacing w:before="120" w:after="120"/>
        <w:jc w:val="both"/>
        <w:rPr>
          <w:rFonts w:ascii="Verdana" w:hAnsi="Verdana"/>
          <w:i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Изисквания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към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обезпечаване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i/>
          <w:color w:val="000000" w:themeColor="text1"/>
          <w:sz w:val="20"/>
          <w:szCs w:val="20"/>
        </w:rPr>
        <w:t>изпълнението</w:t>
      </w:r>
      <w:proofErr w:type="spellEnd"/>
      <w:r w:rsidRPr="00E125C7">
        <w:rPr>
          <w:rFonts w:ascii="Verdana" w:hAnsi="Verdana"/>
          <w:i/>
          <w:color w:val="000000" w:themeColor="text1"/>
          <w:sz w:val="20"/>
          <w:szCs w:val="20"/>
        </w:rPr>
        <w:t>:</w:t>
      </w:r>
    </w:p>
    <w:p w14:paraId="2346B6E1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Участникът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определен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избира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сам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формата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6AE290B4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или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същите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следва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бъдат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неотменими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безусловни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.</w:t>
      </w:r>
    </w:p>
    <w:p w14:paraId="10D647B9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Паричната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може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предоставят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името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сметка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трето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лице-гарант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</w:p>
    <w:p w14:paraId="078A4147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Когато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избраният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обединение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което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юридическо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лице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всеки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съдружниците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него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може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наредител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съответно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вносител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сумата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или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титуляр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5DF6F5B1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 xml:space="preserve">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случай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съдружник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обединение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следва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обезпечава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задълженията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обединението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</w:p>
    <w:p w14:paraId="342430C1" w14:textId="6B6F3952" w:rsidR="00FB7ABB" w:rsidRPr="00E125C7" w:rsidRDefault="00FB7ABB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В издадената банкова гаранция трябва да е посочено, че същата се подчинява на “Еднообразните правила за гаранции до поискване” (URDG –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Uniform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Rules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for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Demand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Guarantees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) на Международната търговска камара (ICC), Париж и тяхната последна действаща публикация и ревизия.</w:t>
      </w:r>
    </w:p>
    <w:p w14:paraId="663C6A47" w14:textId="12431FB5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Ангажиментът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освобождаването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предоставена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изчерпва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с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връщането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нейния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оригинал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като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ангажира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дължи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разходите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изготвяне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допълнителни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потвърждения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изпращане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междубанкови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SWIFT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съобщения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заплащане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свързаните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с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такси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случай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че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обслужващата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участника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/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има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някакви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допълнителни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специфични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изисквания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</w:p>
    <w:p w14:paraId="36C623F9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proofErr w:type="gramStart"/>
      <w:r w:rsidRPr="00E125C7">
        <w:rPr>
          <w:rFonts w:ascii="Verdana" w:hAnsi="Verdana"/>
          <w:color w:val="000000" w:themeColor="text1"/>
          <w:sz w:val="20"/>
          <w:szCs w:val="20"/>
        </w:rPr>
        <w:lastRenderedPageBreak/>
        <w:t>Банковите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разходи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откриването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поддържането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обезпечаване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изпълнението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във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формата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банкова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както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усвояването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средства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страна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наличието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основание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сметка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  <w:r w:rsidRPr="00E125C7">
        <w:rPr>
          <w:rFonts w:ascii="Verdana" w:hAnsi="Verdana"/>
          <w:color w:val="000000" w:themeColor="text1"/>
          <w:spacing w:val="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във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формата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разходите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сключването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застрахователния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поддържането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валидността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изисквания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срок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както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всяко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изплащане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застрахователно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обезщетение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полза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наличието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основание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това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сметка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  <w:proofErr w:type="gramEnd"/>
    </w:p>
    <w:p w14:paraId="6A5EDCCC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 xml:space="preserve">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случай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че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под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формата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застрахователната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премия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следва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платена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изцяло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Възложителя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сключване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обществената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поръчка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54497A0A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Когато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участникът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избран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изпълнител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обществената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поръчка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чуждестранно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физическо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или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юридическо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лице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или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техни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обединения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,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документите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обезпечаване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изпълнението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представят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превод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български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език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>.</w:t>
      </w:r>
    </w:p>
    <w:p w14:paraId="21DBBC1C" w14:textId="77777777" w:rsidR="008C6DD9" w:rsidRPr="00E125C7" w:rsidRDefault="008C6DD9" w:rsidP="008C6DD9">
      <w:pPr>
        <w:pStyle w:val="ListParagraph"/>
        <w:keepLines/>
        <w:numPr>
          <w:ilvl w:val="0"/>
          <w:numId w:val="5"/>
        </w:numPr>
        <w:tabs>
          <w:tab w:val="num" w:pos="5126"/>
        </w:tabs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Условията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сроковете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задържане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или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освобождаване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гаранцията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обезпечаване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изпълнението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уредени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договора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обществена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поръчка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05CC35EC" w14:textId="77777777" w:rsidR="006E22C3" w:rsidRPr="00E125C7" w:rsidRDefault="006E22C3" w:rsidP="008C6DD9">
      <w:pPr>
        <w:pStyle w:val="BodyText"/>
        <w:spacing w:after="0"/>
        <w:ind w:firstLine="54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063D579C" w14:textId="77777777" w:rsidR="008C6DD9" w:rsidRPr="00E125C7" w:rsidRDefault="008C6DD9" w:rsidP="008C6DD9">
      <w:pPr>
        <w:pStyle w:val="BodyText"/>
        <w:spacing w:after="0"/>
        <w:ind w:firstLine="54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7A56A9F9" w14:textId="345142D4" w:rsidR="008C5744" w:rsidRPr="00E125C7" w:rsidRDefault="00687101" w:rsidP="008C5744">
      <w:pPr>
        <w:spacing w:line="30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10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Представяне на</w:t>
      </w:r>
      <w:r w:rsidR="008C5744" w:rsidRPr="00E125C7">
        <w:rPr>
          <w:rFonts w:ascii="Verdana" w:hAnsi="Verdana"/>
          <w:color w:val="000000" w:themeColor="text1"/>
          <w:sz w:val="20"/>
          <w:szCs w:val="20"/>
          <w:u w:val="single"/>
          <w:lang w:val="bg-BG"/>
        </w:rPr>
        <w:t xml:space="preserve"> 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първоначална оферта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: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Първоначалната оферта трябва да съдържа:</w:t>
      </w:r>
      <w:r w:rsidR="008C5744" w:rsidRPr="00E125C7">
        <w:rPr>
          <w:rFonts w:ascii="Verdana" w:hAnsi="Verdana"/>
          <w:b/>
          <w:i/>
          <w:color w:val="000000" w:themeColor="text1"/>
          <w:sz w:val="20"/>
          <w:szCs w:val="20"/>
          <w:lang w:val="bg-BG"/>
        </w:rPr>
        <w:t xml:space="preserve"> </w:t>
      </w:r>
    </w:p>
    <w:p w14:paraId="69C3BF66" w14:textId="3E4F0256" w:rsidR="008C5744" w:rsidRPr="00E125C7" w:rsidRDefault="008C5744" w:rsidP="008C5744">
      <w:pPr>
        <w:spacing w:line="300" w:lineRule="exact"/>
        <w:jc w:val="both"/>
        <w:outlineLvl w:val="0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- Списък на документите и информацията, съдържащи се в първоначалната оферта</w:t>
      </w:r>
      <w:r w:rsidR="00C0343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;</w:t>
      </w:r>
    </w:p>
    <w:p w14:paraId="15929555" w14:textId="24201752" w:rsidR="008C5744" w:rsidRPr="00E125C7" w:rsidRDefault="008C5744" w:rsidP="008C5744">
      <w:pPr>
        <w:spacing w:line="300" w:lineRule="exact"/>
        <w:jc w:val="both"/>
        <w:outlineLvl w:val="0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- Първоначална оферта по образец, приложен към настоящата покана</w:t>
      </w:r>
      <w:r w:rsidR="00C0343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</w:p>
    <w:p w14:paraId="7E2B69A5" w14:textId="6280DC5F" w:rsidR="00687101" w:rsidRPr="00E125C7" w:rsidRDefault="00687101" w:rsidP="00687101">
      <w:pPr>
        <w:spacing w:line="300" w:lineRule="exact"/>
        <w:jc w:val="both"/>
        <w:outlineLvl w:val="0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- Декларация по чл. 47, ал. 3 от ЗОП, че при изготвяне на офертите са спазени изискванията за закрила на заетостта, включително минимална цена на труда и условията на труд (по образец);</w:t>
      </w:r>
    </w:p>
    <w:p w14:paraId="2D600FAB" w14:textId="69A897DE" w:rsidR="00BC401A" w:rsidRPr="00E125C7" w:rsidRDefault="00BC401A" w:rsidP="00076273">
      <w:pPr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 w:rsidR="00687101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. Изисквания към техническото </w:t>
      </w:r>
      <w:r w:rsidR="000E0919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предложение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: </w:t>
      </w:r>
    </w:p>
    <w:p w14:paraId="5945ECCF" w14:textId="14276243" w:rsidR="00BC401A" w:rsidRPr="00E125C7" w:rsidRDefault="00BC401A" w:rsidP="00BC401A">
      <w:pPr>
        <w:autoSpaceDE w:val="0"/>
        <w:autoSpaceDN w:val="0"/>
        <w:adjustRightInd w:val="0"/>
        <w:ind w:firstLine="680"/>
        <w:jc w:val="both"/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</w:pPr>
      <w:r w:rsidRPr="00E125C7"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  <w:t xml:space="preserve">Участникът следва да представи техническо предложение за изпълнение на поръчката </w:t>
      </w:r>
      <w:r w:rsidR="00F21404" w:rsidRPr="00E125C7"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  <w:t>по образец.</w:t>
      </w:r>
    </w:p>
    <w:p w14:paraId="3FE8692B" w14:textId="77777777" w:rsidR="00E125C7" w:rsidRPr="00E125C7" w:rsidRDefault="00E125C7" w:rsidP="00E125C7">
      <w:pPr>
        <w:keepLines/>
        <w:spacing w:before="120" w:after="120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>A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. Участникът трябва да предостави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предложение за изпълнение на поръчката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с описание на оферираните стоки, съобразно посочените изисквания и </w:t>
      </w:r>
      <w:r w:rsidRPr="00E125C7">
        <w:rPr>
          <w:rFonts w:ascii="Verdana" w:hAnsi="Verdana"/>
          <w:i/>
          <w:color w:val="000000" w:themeColor="text1"/>
          <w:sz w:val="20"/>
          <w:szCs w:val="20"/>
          <w:u w:val="single"/>
          <w:lang w:val="bg-BG"/>
        </w:rPr>
        <w:t>потвърждение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Pr="00E125C7">
        <w:rPr>
          <w:rFonts w:ascii="Verdana" w:hAnsi="Verdana"/>
          <w:i/>
          <w:color w:val="000000" w:themeColor="text1"/>
          <w:sz w:val="20"/>
          <w:szCs w:val="20"/>
          <w:u w:val="single"/>
          <w:lang w:val="bg-BG"/>
        </w:rPr>
        <w:t>за покриване на всички изисквания посочени в Раздел А от документацията.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</w:p>
    <w:p w14:paraId="52175B08" w14:textId="77777777" w:rsidR="00E125C7" w:rsidRPr="00E125C7" w:rsidRDefault="00E125C7" w:rsidP="00E125C7">
      <w:pPr>
        <w:keepLines/>
        <w:spacing w:before="120" w:after="120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Техническото предложение трябва да е за всяка стока и да съдържа като минимум:</w:t>
      </w:r>
    </w:p>
    <w:p w14:paraId="650C1586" w14:textId="77777777" w:rsidR="00E125C7" w:rsidRPr="00E125C7" w:rsidRDefault="00E125C7" w:rsidP="00E125C7">
      <w:pPr>
        <w:pStyle w:val="ListParagraph"/>
        <w:numPr>
          <w:ilvl w:val="1"/>
          <w:numId w:val="15"/>
        </w:numPr>
        <w:spacing w:before="90" w:after="90"/>
        <w:ind w:left="1418" w:hanging="425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производител, марка, тип и диаметър на оферирани стоки, както и уеб сайт на производителя;</w:t>
      </w:r>
    </w:p>
    <w:p w14:paraId="1BA2AACC" w14:textId="77777777" w:rsidR="00E125C7" w:rsidRPr="00E125C7" w:rsidRDefault="00E125C7" w:rsidP="00E125C7">
      <w:pPr>
        <w:pStyle w:val="ListParagraph"/>
        <w:numPr>
          <w:ilvl w:val="1"/>
          <w:numId w:val="14"/>
        </w:numPr>
        <w:spacing w:before="90" w:after="9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дължина на оферираните стоки, вид на часовниковия механизъм, материал на корпуса;</w:t>
      </w:r>
    </w:p>
    <w:p w14:paraId="4A7F03EA" w14:textId="77777777" w:rsidR="00E125C7" w:rsidRPr="00E125C7" w:rsidRDefault="00E125C7" w:rsidP="00E125C7">
      <w:pPr>
        <w:pStyle w:val="ListParagraph"/>
        <w:numPr>
          <w:ilvl w:val="1"/>
          <w:numId w:val="14"/>
        </w:numPr>
        <w:spacing w:before="90" w:after="9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характеристичен разход Q1, Q2, Q3, Q4 и R.</w:t>
      </w:r>
    </w:p>
    <w:p w14:paraId="05C5FD81" w14:textId="77777777" w:rsidR="00E125C7" w:rsidRPr="00E125C7" w:rsidRDefault="00E125C7" w:rsidP="00E125C7">
      <w:pPr>
        <w:keepLines/>
        <w:spacing w:before="120" w:after="120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Участникът трябва да предостави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декларация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, че всички спецификации на водомерите, предмет на обществената поръчка, с които участва в процедурата, отговарят на </w:t>
      </w:r>
      <w:hyperlink r:id="rId9" w:history="1">
        <w:r w:rsidRPr="00E125C7">
          <w:rPr>
            <w:rStyle w:val="Hyperlink"/>
            <w:rFonts w:ascii="Verdana" w:hAnsi="Verdana"/>
            <w:color w:val="000000" w:themeColor="text1"/>
            <w:sz w:val="20"/>
            <w:szCs w:val="20"/>
            <w:lang w:val="bg-BG"/>
          </w:rPr>
          <w:t>д</w:t>
        </w:r>
      </w:hyperlink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олуописаните изисквания или еквивалент:</w:t>
      </w:r>
    </w:p>
    <w:p w14:paraId="179AFB02" w14:textId="77777777" w:rsidR="00E125C7" w:rsidRPr="00E125C7" w:rsidRDefault="00E125C7" w:rsidP="00E125C7">
      <w:pPr>
        <w:pStyle w:val="ListParagraph"/>
        <w:numPr>
          <w:ilvl w:val="3"/>
          <w:numId w:val="14"/>
        </w:numPr>
        <w:tabs>
          <w:tab w:val="clear" w:pos="2880"/>
          <w:tab w:val="num" w:pos="1276"/>
        </w:tabs>
        <w:spacing w:before="90" w:after="90"/>
        <w:ind w:hanging="1887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Style w:val="Hyperlink"/>
          <w:rFonts w:ascii="Verdana" w:hAnsi="Verdana"/>
          <w:color w:val="000000" w:themeColor="text1"/>
          <w:sz w:val="20"/>
          <w:szCs w:val="20"/>
          <w:lang w:val="bg-BG"/>
        </w:rPr>
        <w:t>БДС EN ISO 4064-1:2017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– Част 1: Метрологични и технологични изисквания;</w:t>
      </w:r>
    </w:p>
    <w:p w14:paraId="2F9C3798" w14:textId="77777777" w:rsidR="00E125C7" w:rsidRPr="00E125C7" w:rsidRDefault="00E125C7" w:rsidP="00E125C7">
      <w:pPr>
        <w:pStyle w:val="ListParagraph"/>
        <w:numPr>
          <w:ilvl w:val="3"/>
          <w:numId w:val="14"/>
        </w:numPr>
        <w:tabs>
          <w:tab w:val="clear" w:pos="2880"/>
          <w:tab w:val="num" w:pos="1276"/>
        </w:tabs>
        <w:spacing w:before="90" w:after="90"/>
        <w:ind w:hanging="1887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БДС EN ISO 4064-2:2017 – Част 2: Методи за изпитване</w:t>
      </w:r>
    </w:p>
    <w:p w14:paraId="170DA115" w14:textId="77777777" w:rsidR="00E125C7" w:rsidRPr="00E125C7" w:rsidRDefault="00E125C7" w:rsidP="00E125C7">
      <w:pPr>
        <w:pStyle w:val="ListParagraph"/>
        <w:numPr>
          <w:ilvl w:val="3"/>
          <w:numId w:val="14"/>
        </w:numPr>
        <w:tabs>
          <w:tab w:val="clear" w:pos="2880"/>
          <w:tab w:val="num" w:pos="1276"/>
        </w:tabs>
        <w:spacing w:before="90" w:after="90"/>
        <w:ind w:hanging="1887"/>
        <w:jc w:val="both"/>
        <w:rPr>
          <w:rStyle w:val="Hyperlink"/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БДС EN ISO 4064-5:2017 – Част 5: Изисквания за монтиране</w:t>
      </w:r>
    </w:p>
    <w:p w14:paraId="00E95476" w14:textId="77777777" w:rsidR="00E125C7" w:rsidRPr="00E125C7" w:rsidRDefault="00E125C7" w:rsidP="00E125C7">
      <w:pPr>
        <w:pStyle w:val="ListParagraph"/>
        <w:spacing w:before="90" w:after="90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>B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. Участникът трябва да предостави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таблица „Гаранционен срок”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, с посочен гаранционен срок за всяка оферирана стока. Гаранционният срок на стоките, с които участникът участва в процедурата,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не може да бъде по-малък от 36 месеца за водомерите с </w:t>
      </w:r>
      <w:proofErr w:type="spellStart"/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фланшово</w:t>
      </w:r>
      <w:proofErr w:type="spellEnd"/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присъединяване и 24 месеца за комуникационните модули, </w:t>
      </w:r>
      <w:r w:rsidRPr="00E125C7">
        <w:rPr>
          <w:rFonts w:ascii="Verdana" w:hAnsi="Verdana"/>
          <w:color w:val="000000" w:themeColor="text1"/>
          <w:sz w:val="20"/>
          <w:szCs w:val="20"/>
          <w:lang w:val="bg-BG" w:eastAsia="bg-BG"/>
        </w:rPr>
        <w:t>считано от датата на доставка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</w:p>
    <w:p w14:paraId="1259DE54" w14:textId="77777777" w:rsidR="00E125C7" w:rsidRPr="00E125C7" w:rsidRDefault="00E125C7" w:rsidP="00E125C7">
      <w:pPr>
        <w:keepLines/>
        <w:spacing w:before="120" w:after="120"/>
        <w:ind w:left="709"/>
        <w:jc w:val="both"/>
        <w:rPr>
          <w:rFonts w:ascii="Verdana" w:hAnsi="Verdana"/>
          <w:color w:val="000000" w:themeColor="text1"/>
          <w:sz w:val="20"/>
          <w:szCs w:val="20"/>
          <w:u w:val="single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lastRenderedPageBreak/>
        <w:t xml:space="preserve">Участникът трябва да предостави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пълно описание на условията на гаранционна поддръжка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на стоките, </w:t>
      </w:r>
      <w:r w:rsidRPr="00E125C7">
        <w:rPr>
          <w:rFonts w:ascii="Verdana" w:hAnsi="Verdana"/>
          <w:color w:val="000000" w:themeColor="text1"/>
          <w:sz w:val="20"/>
          <w:szCs w:val="20"/>
          <w:u w:val="single"/>
          <w:lang w:val="bg-BG"/>
        </w:rPr>
        <w:t>които да са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 в съответствие</w:t>
      </w:r>
      <w:r w:rsidRPr="00E125C7">
        <w:rPr>
          <w:rFonts w:ascii="Verdana" w:hAnsi="Verdana"/>
          <w:color w:val="000000" w:themeColor="text1"/>
          <w:sz w:val="20"/>
          <w:szCs w:val="20"/>
          <w:u w:val="single"/>
          <w:lang w:val="bg-BG"/>
        </w:rPr>
        <w:t xml:space="preserve"> с изискванията на настоящата спецификация. </w:t>
      </w:r>
    </w:p>
    <w:p w14:paraId="1CB2FD7B" w14:textId="77777777" w:rsidR="00E125C7" w:rsidRPr="00E125C7" w:rsidRDefault="00E125C7" w:rsidP="00E125C7">
      <w:pPr>
        <w:pStyle w:val="ListParagraph"/>
        <w:spacing w:before="90" w:after="90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 xml:space="preserve">C.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Участникът трябва да представи сертификат или декларация от производителя на водомерите в оригинал, че няма въздействие на външни магнитни и електромагнитни полета върху техническите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характеристите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на водомерите от сух тип.</w:t>
      </w:r>
    </w:p>
    <w:p w14:paraId="3F12F49C" w14:textId="77777777" w:rsidR="00E125C7" w:rsidRPr="00E125C7" w:rsidRDefault="00E125C7" w:rsidP="00E125C7">
      <w:pPr>
        <w:pStyle w:val="Heading2"/>
        <w:ind w:left="709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Участникът трябва да предостави заверено копие от валиден сертификат за съответствие на доставяните стоки, издаден от оторизиран орган, в съответствие с Наредбата за съществените изисквания и оценяване съответствието на средствата за измерване /НСИОССИ/, обнародвано в ДВ, бр.23 от 25.03.2016г. или всички водомери трябва да притежават MID сертификат за оценка на съответствието. Предложените стоки трябва да изпълняват условията по Директива 32/2014/ЕС.</w:t>
      </w:r>
    </w:p>
    <w:p w14:paraId="45F15A37" w14:textId="77777777" w:rsidR="00E125C7" w:rsidRPr="00E125C7" w:rsidRDefault="00E125C7" w:rsidP="00E125C7">
      <w:pPr>
        <w:autoSpaceDE w:val="0"/>
        <w:autoSpaceDN w:val="0"/>
        <w:adjustRightInd w:val="0"/>
        <w:ind w:firstLine="680"/>
        <w:jc w:val="both"/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</w:pPr>
    </w:p>
    <w:p w14:paraId="0BAD2DBE" w14:textId="791E6227" w:rsidR="009B4C77" w:rsidRPr="00E125C7" w:rsidRDefault="009B4C77" w:rsidP="00337667">
      <w:pPr>
        <w:ind w:right="23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 w:rsidR="00687101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2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Изисквания към първоначалното ценово предложение:</w:t>
      </w:r>
    </w:p>
    <w:p w14:paraId="0DC08F8B" w14:textId="77777777" w:rsidR="009B4C77" w:rsidRPr="00E125C7" w:rsidRDefault="009B4C77" w:rsidP="00C876C4">
      <w:pPr>
        <w:autoSpaceDE w:val="0"/>
        <w:autoSpaceDN w:val="0"/>
        <w:adjustRightInd w:val="0"/>
        <w:ind w:firstLine="708"/>
        <w:jc w:val="both"/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</w:pPr>
      <w:r w:rsidRPr="00E125C7">
        <w:rPr>
          <w:rFonts w:ascii="Verdana" w:eastAsia="Arial Unicode MS" w:hAnsi="Verdana"/>
          <w:bCs/>
          <w:iCs/>
          <w:color w:val="000000" w:themeColor="text1"/>
          <w:sz w:val="20"/>
          <w:szCs w:val="20"/>
          <w:lang w:val="bg-BG" w:eastAsia="bg-BG"/>
        </w:rPr>
        <w:t xml:space="preserve">Участникът следва да представи първоначално ценово предложение за изпълнение на поръчката по образец. </w:t>
      </w:r>
    </w:p>
    <w:p w14:paraId="45ADD245" w14:textId="4C853819" w:rsidR="001579F8" w:rsidRPr="00E125C7" w:rsidRDefault="001579F8" w:rsidP="00FF1A24">
      <w:pPr>
        <w:tabs>
          <w:tab w:val="left" w:pos="0"/>
          <w:tab w:val="left" w:pos="1170"/>
        </w:tabs>
        <w:ind w:firstLine="708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Предложен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ите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от Участниците цен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и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трябва да включва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т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всички разходи за обезпечаване и изпълнение на 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доставките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, предмет на настоящата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обществена поръчка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,  в това число, но не само: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режии</w:t>
      </w:r>
      <w:r w:rsidRPr="00E125C7">
        <w:rPr>
          <w:rFonts w:ascii="Verdana" w:hAnsi="Verdana" w:cs="Cambria Math"/>
          <w:color w:val="000000" w:themeColor="text1"/>
          <w:sz w:val="20"/>
          <w:szCs w:val="20"/>
          <w:lang w:val="bg-BG"/>
        </w:rPr>
        <w:t>̆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ни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разходи, транспорт, персонал, организационни разходи, разходи за материал, техника, за разрешителни, удостоверения и/или лицензи, (когато е приложимо), други разходи, които участват при фор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мирането на цената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. </w:t>
      </w:r>
    </w:p>
    <w:p w14:paraId="386887A5" w14:textId="45537E33" w:rsidR="001579F8" w:rsidRPr="00E125C7" w:rsidRDefault="001579F8" w:rsidP="00FF1A24">
      <w:pPr>
        <w:tabs>
          <w:tab w:val="left" w:pos="0"/>
          <w:tab w:val="left" w:pos="1170"/>
        </w:tabs>
        <w:ind w:firstLine="708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Плащането на дължимите суми се извършва по посочена от Изпълнителя банкова сметка в срок до </w:t>
      </w:r>
      <w:r w:rsidR="00E618B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45 (четир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и</w:t>
      </w:r>
      <w:r w:rsidR="00E618B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десет и пет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) дни, след представяне на оригинал на фактура, съдържаща всички реквизити по Закона за счетоводството</w:t>
      </w:r>
      <w:r w:rsidR="00D15BAC" w:rsidRPr="00E125C7">
        <w:rPr>
          <w:rFonts w:ascii="Verdana" w:hAnsi="Verdana"/>
          <w:color w:val="000000" w:themeColor="text1"/>
          <w:sz w:val="20"/>
          <w:szCs w:val="20"/>
          <w:lang w:val="bg-BG"/>
        </w:rPr>
        <w:t>, придружена с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двустранно подписан</w:t>
      </w:r>
      <w:r w:rsidR="00E618B2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протокол. </w:t>
      </w:r>
    </w:p>
    <w:p w14:paraId="4FC46898" w14:textId="2592ABBD" w:rsidR="00687101" w:rsidRPr="00E125C7" w:rsidRDefault="008C5744" w:rsidP="00076273">
      <w:pPr>
        <w:spacing w:before="120" w:after="120"/>
        <w:jc w:val="both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 w:rsidR="00687101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3</w:t>
      </w: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Срок за представяне на първоначални оферти: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В срок до </w:t>
      </w:r>
      <w:r w:rsidRPr="00E125C7">
        <w:rPr>
          <w:rFonts w:ascii="Verdana" w:hAnsi="Verdana"/>
          <w:b/>
          <w:color w:val="000000" w:themeColor="text1"/>
          <w:sz w:val="20"/>
          <w:szCs w:val="20"/>
          <w:highlight w:val="yellow"/>
          <w:lang w:val="bg-BG"/>
        </w:rPr>
        <w:t>10 (десет) календарни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дни от датата на получаване на поканата.</w:t>
      </w:r>
    </w:p>
    <w:p w14:paraId="3874A672" w14:textId="3CED7605" w:rsidR="00D05369" w:rsidRPr="00E125C7" w:rsidRDefault="008C5744" w:rsidP="00076273">
      <w:pPr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Първоначалната оферта се представя в запечатан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а, непрозрачна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опаковка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в деловодството </w:t>
      </w:r>
      <w:r w:rsidR="00E618B2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на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„Софийска вода” АД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. 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Деловодството на „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Софийска вода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“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АД е с работно време от 08:00 до 16:30 часа всеки работен ден и адрес: 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„Софийска вода“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АД, град София 1766, район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Младост, ж.к. Младост ІV, ул. „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Бизнес парк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“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№1, сграда 2А.</w:t>
      </w:r>
    </w:p>
    <w:p w14:paraId="6E222499" w14:textId="77777777" w:rsidR="008C5744" w:rsidRPr="00E125C7" w:rsidRDefault="008C5744" w:rsidP="008C5744">
      <w:pPr>
        <w:tabs>
          <w:tab w:val="left" w:pos="180"/>
        </w:tabs>
        <w:jc w:val="both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Върху плика </w:t>
      </w:r>
      <w:r w:rsidR="004224D2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>се изписва „Първоначална оферта“</w:t>
      </w:r>
      <w:r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, предмета на процедурата и предмета на Квалификационната система. </w:t>
      </w:r>
    </w:p>
    <w:p w14:paraId="2EE302D6" w14:textId="77777777" w:rsidR="008C5744" w:rsidRPr="00E125C7" w:rsidRDefault="008C5744" w:rsidP="008C5744">
      <w:pPr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55F08BF4" w14:textId="633E0524" w:rsidR="008C5744" w:rsidRPr="00E125C7" w:rsidRDefault="008F521A" w:rsidP="008C5744">
      <w:pPr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4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Ред и място за провеждане на преговорите: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Датата и часът на провеждането на договарянето ще се определ</w:t>
      </w:r>
      <w:r w:rsidR="00D95648" w:rsidRPr="00E125C7">
        <w:rPr>
          <w:rFonts w:ascii="Verdana" w:hAnsi="Verdana"/>
          <w:color w:val="000000" w:themeColor="text1"/>
          <w:sz w:val="20"/>
          <w:szCs w:val="20"/>
          <w:lang w:val="bg-BG"/>
        </w:rPr>
        <w:t>ят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след датата на постъпване на първоначалните оферти на участниците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.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Поредността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провеждане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преговорите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се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определя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комисията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чрез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жребий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,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който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могат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да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присъстват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представители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поканените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участници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(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чл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. 67,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ал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. 1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ППЗОП).</w:t>
      </w:r>
    </w:p>
    <w:p w14:paraId="1318BA2B" w14:textId="05C1C19D" w:rsidR="008C5744" w:rsidRPr="00E125C7" w:rsidRDefault="00FF1A24" w:rsidP="008C5744">
      <w:pPr>
        <w:pStyle w:val="Bodytext20"/>
        <w:shd w:val="clear" w:color="auto" w:fill="auto"/>
        <w:tabs>
          <w:tab w:val="left" w:pos="709"/>
        </w:tabs>
        <w:spacing w:before="0"/>
        <w:ind w:firstLine="426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</w:rPr>
        <w:t>У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частниците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ще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бъдат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уведомени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по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електронна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поща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за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датата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и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конкретния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час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r w:rsidRPr="00E125C7">
        <w:rPr>
          <w:rFonts w:ascii="Verdana" w:hAnsi="Verdana"/>
          <w:color w:val="000000" w:themeColor="text1"/>
          <w:sz w:val="20"/>
          <w:szCs w:val="20"/>
        </w:rPr>
        <w:t>за</w:t>
      </w:r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>провеждането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>жребия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и</w:t>
      </w:r>
      <w:r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на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>договарянето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val="en-US"/>
        </w:rPr>
        <w:t xml:space="preserve">. </w:t>
      </w:r>
    </w:p>
    <w:p w14:paraId="36AAB826" w14:textId="4A876D74" w:rsidR="00D05369" w:rsidRPr="00E125C7" w:rsidRDefault="008C5744" w:rsidP="00687101">
      <w:pPr>
        <w:spacing w:before="120" w:after="120"/>
        <w:ind w:firstLine="426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Договарянето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ще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проведе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в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сградата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„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Софийска </w:t>
      </w:r>
      <w:proofErr w:type="spellStart"/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вода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“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АД</w:t>
      </w:r>
      <w:proofErr w:type="spellEnd"/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, град София</w:t>
      </w:r>
      <w:proofErr w:type="gramStart"/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,  ж.к</w:t>
      </w:r>
      <w:proofErr w:type="gramEnd"/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. Младост ІV, ул. 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„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Бизнес парк</w:t>
      </w:r>
      <w:r w:rsidR="004224D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“</w:t>
      </w:r>
      <w:r w:rsidR="00D05369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№1, сграда 2А.</w:t>
      </w:r>
    </w:p>
    <w:p w14:paraId="4E6749F1" w14:textId="1D280BBA" w:rsidR="008C5744" w:rsidRPr="00E125C7" w:rsidRDefault="008C5744" w:rsidP="00D05369">
      <w:pPr>
        <w:pStyle w:val="Bodytext20"/>
        <w:shd w:val="clear" w:color="auto" w:fill="auto"/>
        <w:spacing w:before="0"/>
        <w:ind w:firstLine="426"/>
        <w:rPr>
          <w:rFonts w:ascii="Verdana" w:hAnsi="Verdana"/>
          <w:color w:val="000000" w:themeColor="text1"/>
          <w:sz w:val="20"/>
          <w:szCs w:val="20"/>
          <w:lang w:eastAsia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С всеки от участниците, подал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и</w:t>
      </w:r>
      <w:r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първоначална оферта, се провежда договаряне поотделно</w:t>
      </w:r>
      <w:r w:rsidR="00F04A5B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. Договарянето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r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ще 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бъде</w:t>
      </w:r>
      <w:r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с максимална продължителност до 2 астрономически часа. При преговорите законният представител на участника следва да представи документ за самоличност, а когато </w:t>
      </w:r>
      <w:r w:rsidR="00F04A5B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се представлява от у</w:t>
      </w:r>
      <w:r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пълномощен представител – и изрично писмено пълномощно (оригинал или заверено копие). </w:t>
      </w:r>
    </w:p>
    <w:p w14:paraId="6B8C8EF8" w14:textId="74294BAA" w:rsidR="008C5744" w:rsidRPr="00E125C7" w:rsidRDefault="00F04A5B" w:rsidP="008C5744">
      <w:pPr>
        <w:ind w:firstLine="426"/>
        <w:jc w:val="both"/>
        <w:rPr>
          <w:rFonts w:ascii="Verdana" w:hAnsi="Verdana"/>
          <w:color w:val="000000" w:themeColor="text1"/>
          <w:sz w:val="20"/>
          <w:szCs w:val="20"/>
          <w:lang w:eastAsia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 w:eastAsia="bg-BG"/>
        </w:rPr>
        <w:t>На договаряне подлежат предлаганите от участника първоначални цени.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Резултатите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преговорите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се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отразяват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в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подписан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комисията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и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от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участника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протокол</w:t>
      </w:r>
      <w:proofErr w:type="spellEnd"/>
      <w:r w:rsidR="008C574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.</w:t>
      </w:r>
    </w:p>
    <w:p w14:paraId="0A55B9EE" w14:textId="77777777" w:rsidR="00F14FC6" w:rsidRPr="00E125C7" w:rsidRDefault="00F14FC6" w:rsidP="008C5744">
      <w:pPr>
        <w:spacing w:line="300" w:lineRule="exact"/>
        <w:jc w:val="both"/>
        <w:rPr>
          <w:rFonts w:ascii="Verdana" w:hAnsi="Verdana"/>
          <w:b/>
          <w:color w:val="000000" w:themeColor="text1"/>
          <w:sz w:val="20"/>
          <w:szCs w:val="20"/>
          <w:highlight w:val="yellow"/>
          <w:u w:val="single"/>
          <w:lang w:val="bg-BG"/>
        </w:rPr>
      </w:pPr>
    </w:p>
    <w:p w14:paraId="19793B95" w14:textId="6660DBC1" w:rsidR="008C5744" w:rsidRPr="00E125C7" w:rsidRDefault="008F521A" w:rsidP="00202C72">
      <w:pPr>
        <w:spacing w:line="300" w:lineRule="exac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1</w:t>
      </w:r>
      <w:r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5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>. Критерии за оценка</w:t>
      </w:r>
      <w:r w:rsidR="004224D2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 </w:t>
      </w:r>
      <w:r w:rsidR="008C5744" w:rsidRPr="00E125C7">
        <w:rPr>
          <w:rFonts w:ascii="Verdana" w:hAnsi="Verdana"/>
          <w:b/>
          <w:color w:val="000000" w:themeColor="text1"/>
          <w:sz w:val="20"/>
          <w:szCs w:val="20"/>
          <w:lang w:val="bg-BG"/>
        </w:rPr>
        <w:t xml:space="preserve">– </w:t>
      </w:r>
      <w:proofErr w:type="spellStart"/>
      <w:r w:rsidR="00F53232" w:rsidRPr="00E125C7">
        <w:rPr>
          <w:rFonts w:ascii="Verdana" w:hAnsi="Verdana"/>
          <w:color w:val="000000" w:themeColor="text1"/>
          <w:sz w:val="20"/>
          <w:szCs w:val="20"/>
        </w:rPr>
        <w:t>Икономически</w:t>
      </w:r>
      <w:proofErr w:type="spellEnd"/>
      <w:r w:rsidR="00F5323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F53232" w:rsidRPr="00E125C7">
        <w:rPr>
          <w:rFonts w:ascii="Verdana" w:hAnsi="Verdana"/>
          <w:color w:val="000000" w:themeColor="text1"/>
          <w:sz w:val="20"/>
          <w:szCs w:val="20"/>
        </w:rPr>
        <w:t>най-изгод</w:t>
      </w:r>
      <w:r w:rsidR="00F53232" w:rsidRPr="00E125C7">
        <w:rPr>
          <w:rFonts w:ascii="Verdana" w:hAnsi="Verdana"/>
          <w:color w:val="000000" w:themeColor="text1"/>
          <w:sz w:val="20"/>
          <w:szCs w:val="20"/>
          <w:lang w:val="bg-BG"/>
        </w:rPr>
        <w:t>нат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а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оферта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ще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се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определи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въз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основа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на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критерий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за</w:t>
      </w:r>
      <w:proofErr w:type="spellEnd"/>
      <w:r w:rsidR="00202C72" w:rsidRPr="00E125C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202C72" w:rsidRPr="00E125C7">
        <w:rPr>
          <w:rFonts w:ascii="Verdana" w:hAnsi="Verdana"/>
          <w:color w:val="000000" w:themeColor="text1"/>
          <w:sz w:val="20"/>
          <w:szCs w:val="20"/>
        </w:rPr>
        <w:t>възлагане</w:t>
      </w:r>
      <w:proofErr w:type="spellEnd"/>
      <w:r w:rsidR="00202C72" w:rsidRPr="00E125C7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 „</w:t>
      </w:r>
      <w:r w:rsidR="00F04A5B"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>икономически най-изгодна оферта</w:t>
      </w:r>
      <w:r w:rsidR="00202C72"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“</w:t>
      </w:r>
      <w:r w:rsidR="00202C72"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 xml:space="preserve">, </w:t>
      </w:r>
      <w:r w:rsidR="00202C72" w:rsidRPr="00E125C7">
        <w:rPr>
          <w:rFonts w:ascii="Verdana" w:hAnsi="Verdana"/>
          <w:bCs/>
          <w:color w:val="000000" w:themeColor="text1"/>
          <w:sz w:val="20"/>
          <w:szCs w:val="20"/>
          <w:lang w:val="bg-BG"/>
        </w:rPr>
        <w:t>съгласно приложената методика за оценка.</w:t>
      </w:r>
    </w:p>
    <w:p w14:paraId="0815C653" w14:textId="77777777" w:rsidR="00A32106" w:rsidRPr="00E125C7" w:rsidRDefault="00A32106" w:rsidP="008C5744">
      <w:pPr>
        <w:tabs>
          <w:tab w:val="left" w:pos="180"/>
          <w:tab w:val="num" w:pos="540"/>
        </w:tabs>
        <w:jc w:val="both"/>
        <w:rPr>
          <w:rFonts w:ascii="Verdana" w:hAnsi="Verdana"/>
          <w:b/>
          <w:bCs/>
          <w:color w:val="000000" w:themeColor="text1"/>
          <w:sz w:val="20"/>
          <w:szCs w:val="20"/>
          <w:u w:val="single"/>
          <w:lang w:val="bg-BG"/>
        </w:rPr>
      </w:pPr>
    </w:p>
    <w:p w14:paraId="5AEF8FA1" w14:textId="01352597" w:rsidR="008C5744" w:rsidRPr="00E125C7" w:rsidRDefault="008F521A" w:rsidP="008C5744">
      <w:pPr>
        <w:tabs>
          <w:tab w:val="left" w:pos="180"/>
          <w:tab w:val="num" w:pos="540"/>
        </w:tabs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b/>
          <w:bCs/>
          <w:color w:val="000000" w:themeColor="text1"/>
          <w:sz w:val="20"/>
          <w:szCs w:val="20"/>
          <w:u w:val="single"/>
          <w:lang w:val="bg-BG"/>
        </w:rPr>
        <w:t>1</w:t>
      </w:r>
      <w:r>
        <w:rPr>
          <w:rFonts w:ascii="Verdana" w:hAnsi="Verdana"/>
          <w:b/>
          <w:bCs/>
          <w:color w:val="000000" w:themeColor="text1"/>
          <w:sz w:val="20"/>
          <w:szCs w:val="20"/>
          <w:u w:val="single"/>
          <w:lang w:val="bg-BG"/>
        </w:rPr>
        <w:t>6</w:t>
      </w:r>
      <w:r w:rsidR="008C5744" w:rsidRPr="00E125C7">
        <w:rPr>
          <w:rFonts w:ascii="Verdana" w:hAnsi="Verdana"/>
          <w:b/>
          <w:bCs/>
          <w:color w:val="000000" w:themeColor="text1"/>
          <w:sz w:val="20"/>
          <w:szCs w:val="20"/>
          <w:u w:val="single"/>
          <w:lang w:val="bg-BG"/>
        </w:rPr>
        <w:t>. Номер и дата на публикуване на обявлението на Квалификационната система:</w:t>
      </w:r>
      <w:r w:rsidR="008C5744" w:rsidRPr="00E125C7">
        <w:rPr>
          <w:rFonts w:ascii="Verdana" w:hAnsi="Verdana"/>
          <w:b/>
          <w:bCs/>
          <w:color w:val="000000" w:themeColor="text1"/>
          <w:sz w:val="20"/>
          <w:szCs w:val="20"/>
          <w:lang w:val="bg-BG"/>
        </w:rPr>
        <w:t xml:space="preserve"> </w:t>
      </w:r>
    </w:p>
    <w:p w14:paraId="06BE243F" w14:textId="77777777" w:rsidR="00FF1A24" w:rsidRPr="00E125C7" w:rsidRDefault="00FF1A24" w:rsidP="00FF1A24">
      <w:pPr>
        <w:pStyle w:val="BodyTex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</w:p>
    <w:p w14:paraId="3365FEC9" w14:textId="2A8A59BD" w:rsidR="008C5744" w:rsidRPr="00E125C7" w:rsidRDefault="00DA38DD" w:rsidP="00FF1A24">
      <w:pPr>
        <w:pStyle w:val="BodyText"/>
        <w:jc w:val="both"/>
        <w:rPr>
          <w:rFonts w:ascii="Verdana" w:hAnsi="Verdana"/>
          <w:color w:val="000000" w:themeColor="text1"/>
          <w:sz w:val="20"/>
          <w:szCs w:val="20"/>
          <w:lang w:val="bg-BG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Решение за създаване на квалификационна система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№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С</w:t>
      </w:r>
      <w:r w:rsidRPr="00E125C7">
        <w:rPr>
          <w:rFonts w:ascii="Verdana" w:hAnsi="Verdana"/>
          <w:smallCaps/>
          <w:color w:val="000000" w:themeColor="text1"/>
          <w:sz w:val="20"/>
          <w:szCs w:val="20"/>
          <w:lang w:val="bg-BG"/>
        </w:rPr>
        <w:t>Н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-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30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2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от 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14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11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.2019</w:t>
      </w:r>
      <w:r w:rsidR="008C5744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г., с уникален номер в РОП № 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val="bg-BG"/>
        </w:rPr>
        <w:t>00435-2019-00</w:t>
      </w: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83</w:t>
      </w:r>
      <w:r w:rsidR="00AF4705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</w:p>
    <w:p w14:paraId="18A16A59" w14:textId="3916546B" w:rsidR="00DA38DD" w:rsidRPr="00E125C7" w:rsidRDefault="00DA38DD" w:rsidP="00FF1A24">
      <w:pPr>
        <w:pStyle w:val="BodyTex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125C7">
        <w:rPr>
          <w:rFonts w:ascii="Verdana" w:hAnsi="Verdana"/>
          <w:color w:val="000000" w:themeColor="text1"/>
          <w:sz w:val="20"/>
          <w:szCs w:val="20"/>
          <w:lang w:val="bg-BG"/>
        </w:rPr>
        <w:t>Публикувано Обявление в ОВ на Европейски съюз под № 2019/</w:t>
      </w:r>
      <w:r w:rsidRPr="00E125C7">
        <w:rPr>
          <w:rFonts w:ascii="Verdana" w:hAnsi="Verdana"/>
          <w:color w:val="000000" w:themeColor="text1"/>
          <w:sz w:val="20"/>
          <w:szCs w:val="20"/>
        </w:rPr>
        <w:t>S 223-548278.</w:t>
      </w:r>
    </w:p>
    <w:p w14:paraId="213B6CCC" w14:textId="77777777" w:rsidR="00A32106" w:rsidRPr="00E125C7" w:rsidRDefault="00A32106" w:rsidP="00FF1A24">
      <w:pPr>
        <w:pStyle w:val="BodyText"/>
        <w:jc w:val="both"/>
        <w:rPr>
          <w:rFonts w:ascii="Verdana" w:hAnsi="Verdana"/>
          <w:b/>
          <w:color w:val="000000" w:themeColor="text1"/>
          <w:sz w:val="20"/>
          <w:szCs w:val="20"/>
          <w:lang w:val="bg-BG"/>
        </w:rPr>
      </w:pPr>
    </w:p>
    <w:p w14:paraId="31BA14C1" w14:textId="49F2D371" w:rsidR="00EE6593" w:rsidRPr="00E125C7" w:rsidRDefault="00A32106" w:rsidP="00E13A32">
      <w:pPr>
        <w:pStyle w:val="ListParagraph"/>
        <w:ind w:left="0"/>
        <w:jc w:val="both"/>
        <w:rPr>
          <w:rFonts w:ascii="Verdana" w:hAnsi="Verdana"/>
          <w:color w:val="000000" w:themeColor="text1"/>
          <w:sz w:val="20"/>
          <w:szCs w:val="20"/>
          <w:lang w:eastAsia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 w:eastAsia="bg-BG"/>
        </w:rPr>
        <w:t xml:space="preserve">17. </w:t>
      </w:r>
      <w:r w:rsidR="00432FD8"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 w:eastAsia="bg-BG"/>
        </w:rPr>
        <w:t>Документацията</w:t>
      </w:r>
      <w:r w:rsidR="00432FD8" w:rsidRPr="00E125C7">
        <w:rPr>
          <w:rFonts w:ascii="Verdana" w:hAnsi="Verdana"/>
          <w:color w:val="000000" w:themeColor="text1"/>
          <w:sz w:val="20"/>
          <w:szCs w:val="20"/>
          <w:lang w:val="bg-BG" w:eastAsia="bg-BG"/>
        </w:rPr>
        <w:t xml:space="preserve"> за обществената поръчка е достъпна за неограничен и безплатен достъп на</w:t>
      </w:r>
      <w:r w:rsidR="00432FD8" w:rsidRPr="00E125C7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</w:t>
      </w:r>
      <w:r w:rsidR="00432FD8" w:rsidRPr="00E125C7">
        <w:rPr>
          <w:rFonts w:ascii="Verdana" w:hAnsi="Verdana"/>
          <w:color w:val="000000" w:themeColor="text1"/>
          <w:sz w:val="20"/>
          <w:szCs w:val="20"/>
          <w:lang w:val="bg-BG" w:eastAsia="bg-BG"/>
        </w:rPr>
        <w:t xml:space="preserve">посочения линк към електронната преписка в Профила на купувача:   </w:t>
      </w:r>
    </w:p>
    <w:p w14:paraId="51BEF7C1" w14:textId="1E086149" w:rsidR="00432FD8" w:rsidRPr="00E125C7" w:rsidRDefault="004307A4" w:rsidP="00E13A32">
      <w:pPr>
        <w:pStyle w:val="ListParagraph"/>
        <w:ind w:left="0"/>
        <w:jc w:val="both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  <w:hyperlink r:id="rId10" w:history="1">
        <w:r w:rsidR="00DA38DD" w:rsidRPr="00E125C7">
          <w:rPr>
            <w:rFonts w:ascii="Verdana" w:hAnsi="Verdana"/>
            <w:color w:val="000000" w:themeColor="text1"/>
            <w:sz w:val="20"/>
            <w:szCs w:val="20"/>
            <w:u w:val="single"/>
          </w:rPr>
          <w:t>https://procurement.sofiyskavoda.bg/documents.aspx?zop=1689</w:t>
        </w:r>
      </w:hyperlink>
      <w:r w:rsidR="00DA38DD" w:rsidRPr="00E125C7">
        <w:rPr>
          <w:rFonts w:ascii="Verdana" w:hAnsi="Verdana"/>
          <w:color w:val="000000" w:themeColor="text1"/>
          <w:sz w:val="20"/>
          <w:szCs w:val="20"/>
          <w:lang w:val="bg-BG"/>
        </w:rPr>
        <w:t>.</w:t>
      </w:r>
    </w:p>
    <w:p w14:paraId="020FA31F" w14:textId="77777777" w:rsidR="00723F6D" w:rsidRPr="00E125C7" w:rsidRDefault="00723F6D" w:rsidP="00E94EAF">
      <w:pPr>
        <w:pStyle w:val="ListParagraph"/>
        <w:ind w:left="0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</w:p>
    <w:p w14:paraId="3DB61D0B" w14:textId="3D3F3A1A" w:rsidR="00FF1A24" w:rsidRPr="00E125C7" w:rsidRDefault="00A32106" w:rsidP="00FF1A24">
      <w:pPr>
        <w:keepLines/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  <w:lang w:eastAsia="bg-BG"/>
        </w:rPr>
      </w:pPr>
      <w:r w:rsidRPr="00E125C7">
        <w:rPr>
          <w:rFonts w:ascii="Verdana" w:hAnsi="Verdana"/>
          <w:b/>
          <w:color w:val="000000" w:themeColor="text1"/>
          <w:sz w:val="20"/>
          <w:szCs w:val="20"/>
          <w:u w:val="single"/>
          <w:lang w:val="bg-BG"/>
        </w:rPr>
        <w:t xml:space="preserve">18. </w:t>
      </w:r>
      <w:proofErr w:type="spellStart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За</w:t>
      </w:r>
      <w:proofErr w:type="spellEnd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допълнителна</w:t>
      </w:r>
      <w:proofErr w:type="spellEnd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информация</w:t>
      </w:r>
      <w:proofErr w:type="spellEnd"/>
      <w:r w:rsidR="00FF1A24" w:rsidRPr="00E125C7">
        <w:rPr>
          <w:rFonts w:ascii="Verdana" w:hAnsi="Verdana"/>
          <w:b/>
          <w:color w:val="000000" w:themeColor="text1"/>
          <w:sz w:val="20"/>
          <w:szCs w:val="20"/>
          <w:u w:val="single"/>
        </w:rPr>
        <w:t>:</w:t>
      </w:r>
      <w:r w:rsidR="00FF1A24" w:rsidRPr="00E125C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Лице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за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контакт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по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процедурата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: 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val="bg-BG" w:eastAsia="bg-BG"/>
        </w:rPr>
        <w:t>Звезделина Борисова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,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тел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: +359 2 81 22 </w:t>
      </w:r>
      <w:r w:rsidR="00692C62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457</w:t>
      </w:r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, </w:t>
      </w:r>
      <w:proofErr w:type="spellStart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>Факс</w:t>
      </w:r>
      <w:proofErr w:type="spellEnd"/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: +359 2 81 22 588, Email: </w:t>
      </w:r>
      <w:hyperlink r:id="rId11" w:history="1">
        <w:r w:rsidR="00692C62" w:rsidRPr="00E125C7">
          <w:rPr>
            <w:rStyle w:val="Hyperlink"/>
            <w:rFonts w:ascii="Verdana" w:hAnsi="Verdana"/>
            <w:color w:val="000000" w:themeColor="text1"/>
            <w:sz w:val="20"/>
            <w:szCs w:val="20"/>
            <w:lang w:eastAsia="bg-BG"/>
          </w:rPr>
          <w:t>ZBorisova@sofiyskavoda.bg</w:t>
        </w:r>
      </w:hyperlink>
      <w:r w:rsidR="00FF1A24" w:rsidRPr="00E125C7">
        <w:rPr>
          <w:rFonts w:ascii="Verdana" w:hAnsi="Verdana"/>
          <w:color w:val="000000" w:themeColor="text1"/>
          <w:sz w:val="20"/>
          <w:szCs w:val="20"/>
          <w:lang w:eastAsia="bg-BG"/>
        </w:rPr>
        <w:t xml:space="preserve"> </w:t>
      </w:r>
    </w:p>
    <w:p w14:paraId="2CF192F6" w14:textId="052BC4CE" w:rsidR="00723F6D" w:rsidRPr="00E125C7" w:rsidRDefault="00723F6D" w:rsidP="00E94EAF">
      <w:pPr>
        <w:pStyle w:val="ListParagraph"/>
        <w:ind w:left="0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</w:p>
    <w:p w14:paraId="7B29D42C" w14:textId="7705708B" w:rsidR="00E13A32" w:rsidRPr="00E125C7" w:rsidRDefault="00E13A32" w:rsidP="00E94EAF">
      <w:pPr>
        <w:pStyle w:val="ListParagraph"/>
        <w:ind w:left="0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</w:p>
    <w:p w14:paraId="26BB732B" w14:textId="6A7A1DC6" w:rsidR="00E13A32" w:rsidRPr="00E125C7" w:rsidRDefault="00E13A32" w:rsidP="00E94EAF">
      <w:pPr>
        <w:pStyle w:val="ListParagraph"/>
        <w:ind w:left="0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</w:p>
    <w:p w14:paraId="69D5301C" w14:textId="77777777" w:rsidR="00FF1A24" w:rsidRPr="00E125C7" w:rsidRDefault="00FF1A24" w:rsidP="00E94EAF">
      <w:pPr>
        <w:pStyle w:val="ListParagraph"/>
        <w:ind w:left="0"/>
        <w:rPr>
          <w:rFonts w:ascii="Verdana" w:hAnsi="Verdana"/>
          <w:color w:val="000000" w:themeColor="text1"/>
          <w:sz w:val="20"/>
          <w:szCs w:val="20"/>
          <w:lang w:val="bg-BG" w:eastAsia="bg-BG"/>
        </w:rPr>
      </w:pPr>
    </w:p>
    <w:p w14:paraId="332F245C" w14:textId="77777777" w:rsidR="00E13A32" w:rsidRPr="00E125C7" w:rsidRDefault="00E13A32" w:rsidP="00E13A32">
      <w:pPr>
        <w:ind w:left="4956"/>
        <w:rPr>
          <w:rFonts w:ascii="Verdana" w:hAnsi="Verdana"/>
          <w:b/>
          <w:bCs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Възложител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:</w:t>
      </w:r>
    </w:p>
    <w:p w14:paraId="3292BCE2" w14:textId="77777777" w:rsidR="00E13A32" w:rsidRPr="00E125C7" w:rsidRDefault="00E13A32" w:rsidP="00E13A32">
      <w:pPr>
        <w:ind w:left="4956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ab/>
      </w:r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ab/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Фр</w:t>
      </w:r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ансоа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</w:rPr>
        <w:t>Деберг</w:t>
      </w:r>
      <w:proofErr w:type="spellEnd"/>
    </w:p>
    <w:p w14:paraId="4264ED50" w14:textId="77777777" w:rsidR="00E13A32" w:rsidRPr="00E125C7" w:rsidRDefault="00E13A32" w:rsidP="00E13A32">
      <w:pPr>
        <w:ind w:left="5664" w:firstLine="708"/>
        <w:rPr>
          <w:rFonts w:ascii="Verdana" w:hAnsi="Verdana"/>
          <w:b/>
          <w:bCs/>
          <w:color w:val="000000" w:themeColor="text1"/>
          <w:sz w:val="20"/>
          <w:szCs w:val="20"/>
        </w:rPr>
      </w:pP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Изпълнителен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директор</w:t>
      </w:r>
      <w:proofErr w:type="spellEnd"/>
    </w:p>
    <w:p w14:paraId="34F0ED48" w14:textId="77777777" w:rsidR="00E13A32" w:rsidRPr="00E125C7" w:rsidRDefault="00E13A32" w:rsidP="00E13A32">
      <w:pPr>
        <w:ind w:left="5664" w:firstLine="708"/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</w:pPr>
      <w:proofErr w:type="spellStart"/>
      <w:proofErr w:type="gram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на</w:t>
      </w:r>
      <w:proofErr w:type="spellEnd"/>
      <w:proofErr w:type="gramEnd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 xml:space="preserve"> „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Софийска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вода</w:t>
      </w:r>
      <w:proofErr w:type="spellEnd"/>
      <w:r w:rsidRPr="00E125C7">
        <w:rPr>
          <w:rFonts w:ascii="Verdana" w:hAnsi="Verdana"/>
          <w:b/>
          <w:bCs/>
          <w:color w:val="000000" w:themeColor="text1"/>
          <w:sz w:val="20"/>
          <w:szCs w:val="20"/>
          <w:lang w:val="en-GB"/>
        </w:rPr>
        <w:t>“ АД</w:t>
      </w:r>
    </w:p>
    <w:sectPr w:rsidR="00E13A32" w:rsidRPr="00E125C7" w:rsidSect="00EF167C">
      <w:footerReference w:type="default" r:id="rId12"/>
      <w:pgSz w:w="11906" w:h="16838"/>
      <w:pgMar w:top="1417" w:right="991" w:bottom="1417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CC8F7" w14:textId="77777777" w:rsidR="004307A4" w:rsidRDefault="004307A4" w:rsidP="00EF167C">
      <w:r>
        <w:separator/>
      </w:r>
    </w:p>
  </w:endnote>
  <w:endnote w:type="continuationSeparator" w:id="0">
    <w:p w14:paraId="0B89189D" w14:textId="77777777" w:rsidR="004307A4" w:rsidRDefault="004307A4" w:rsidP="00EF1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104"/>
      <w:gridCol w:w="394"/>
    </w:tblGrid>
    <w:tr w:rsidR="00EF167C" w14:paraId="6FB844FB" w14:textId="77777777" w:rsidTr="005164CA">
      <w:trPr>
        <w:trHeight w:hRule="exact" w:val="115"/>
        <w:jc w:val="center"/>
      </w:trPr>
      <w:tc>
        <w:tcPr>
          <w:tcW w:w="9471" w:type="dxa"/>
          <w:shd w:val="clear" w:color="auto" w:fill="5B9BD5"/>
          <w:tcMar>
            <w:top w:w="0" w:type="dxa"/>
            <w:bottom w:w="0" w:type="dxa"/>
          </w:tcMar>
        </w:tcPr>
        <w:p w14:paraId="59889D23" w14:textId="77777777" w:rsidR="00EF167C" w:rsidRDefault="00EF167C" w:rsidP="00EF167C">
          <w:pPr>
            <w:pStyle w:val="Header"/>
            <w:rPr>
              <w:caps/>
              <w:sz w:val="18"/>
            </w:rPr>
          </w:pPr>
        </w:p>
      </w:tc>
      <w:tc>
        <w:tcPr>
          <w:tcW w:w="397" w:type="dxa"/>
          <w:shd w:val="clear" w:color="auto" w:fill="5B9BD5"/>
          <w:tcMar>
            <w:top w:w="0" w:type="dxa"/>
            <w:bottom w:w="0" w:type="dxa"/>
          </w:tcMar>
        </w:tcPr>
        <w:p w14:paraId="69013E19" w14:textId="77777777" w:rsidR="00EF167C" w:rsidRDefault="00EF167C" w:rsidP="00EF167C">
          <w:pPr>
            <w:pStyle w:val="Header"/>
            <w:jc w:val="right"/>
            <w:rPr>
              <w:caps/>
              <w:sz w:val="18"/>
            </w:rPr>
          </w:pPr>
        </w:p>
      </w:tc>
    </w:tr>
    <w:tr w:rsidR="00EF167C" w14:paraId="74E71CF4" w14:textId="77777777" w:rsidTr="005164CA">
      <w:trPr>
        <w:jc w:val="center"/>
      </w:trPr>
      <w:tc>
        <w:tcPr>
          <w:tcW w:w="9471" w:type="dxa"/>
          <w:shd w:val="clear" w:color="auto" w:fill="auto"/>
          <w:vAlign w:val="center"/>
        </w:tcPr>
        <w:p w14:paraId="0B3B53B6" w14:textId="76109DEA" w:rsidR="00EF167C" w:rsidRPr="00EF167C" w:rsidRDefault="00EF167C" w:rsidP="00EF167C">
          <w:pPr>
            <w:pStyle w:val="Footer"/>
            <w:jc w:val="both"/>
            <w:rPr>
              <w:rFonts w:ascii="Verdana" w:hAnsi="Verdana"/>
              <w:caps/>
              <w:color w:val="808080"/>
              <w:sz w:val="12"/>
              <w:szCs w:val="12"/>
            </w:rPr>
          </w:pPr>
          <w:r w:rsidRPr="00EF167C">
            <w:rPr>
              <w:rFonts w:ascii="Verdana" w:hAnsi="Verdana"/>
              <w:caps/>
              <w:sz w:val="12"/>
              <w:szCs w:val="12"/>
            </w:rPr>
            <w:t xml:space="preserve">ТТ001903  </w:t>
          </w:r>
          <w:r w:rsidRPr="00EF167C">
            <w:rPr>
              <w:rStyle w:val="135pt"/>
              <w:rFonts w:ascii="Verdana" w:eastAsia="Arial Unicode MS" w:hAnsi="Verdana"/>
              <w:bCs/>
              <w:color w:val="000000" w:themeColor="text1"/>
              <w:sz w:val="12"/>
              <w:szCs w:val="12"/>
            </w:rPr>
            <w:t>„</w:t>
          </w:r>
          <w:r w:rsidRPr="00EF167C">
            <w:rPr>
              <w:rFonts w:ascii="Verdana" w:hAnsi="Verdana"/>
              <w:color w:val="000000" w:themeColor="text1"/>
              <w:sz w:val="12"/>
              <w:szCs w:val="12"/>
              <w:lang w:eastAsia="bg-BG"/>
            </w:rPr>
            <w:t xml:space="preserve">Първи етап от изграждане на система за интелигентно измерване на потребление”, в рамките на квалификационна система с предмет: </w:t>
          </w:r>
          <w:r w:rsidRPr="00EF167C">
            <w:rPr>
              <w:rFonts w:ascii="Verdana" w:hAnsi="Verdana"/>
              <w:color w:val="000000" w:themeColor="text1"/>
              <w:sz w:val="12"/>
              <w:szCs w:val="12"/>
            </w:rPr>
            <w:t>“Доставка на компоненти и водомери и поетапно изграждане на система за интелигентно измерване на потребление”</w:t>
          </w:r>
        </w:p>
      </w:tc>
      <w:tc>
        <w:tcPr>
          <w:tcW w:w="397" w:type="dxa"/>
          <w:shd w:val="clear" w:color="auto" w:fill="auto"/>
          <w:vAlign w:val="center"/>
        </w:tcPr>
        <w:p w14:paraId="7E0730C6" w14:textId="78F1D007" w:rsidR="00EF167C" w:rsidRPr="00C23FAB" w:rsidRDefault="00EF167C" w:rsidP="00EF167C">
          <w:pPr>
            <w:pStyle w:val="Footer"/>
            <w:ind w:right="-136"/>
            <w:jc w:val="right"/>
            <w:rPr>
              <w:caps/>
              <w:color w:val="808080"/>
              <w:sz w:val="18"/>
              <w:szCs w:val="18"/>
            </w:rPr>
          </w:pPr>
          <w:r w:rsidRPr="00C23FAB">
            <w:rPr>
              <w:caps/>
              <w:color w:val="808080"/>
              <w:sz w:val="18"/>
              <w:szCs w:val="18"/>
            </w:rPr>
            <w:fldChar w:fldCharType="begin"/>
          </w:r>
          <w:r w:rsidRPr="00C23FAB">
            <w:rPr>
              <w:caps/>
              <w:color w:val="808080"/>
              <w:sz w:val="18"/>
              <w:szCs w:val="18"/>
            </w:rPr>
            <w:instrText xml:space="preserve"> PAGE   \* MERGEFORMAT </w:instrText>
          </w:r>
          <w:r w:rsidRPr="00C23FAB">
            <w:rPr>
              <w:caps/>
              <w:color w:val="808080"/>
              <w:sz w:val="18"/>
              <w:szCs w:val="18"/>
            </w:rPr>
            <w:fldChar w:fldCharType="separate"/>
          </w:r>
          <w:r w:rsidR="00037495">
            <w:rPr>
              <w:caps/>
              <w:noProof/>
              <w:color w:val="808080"/>
              <w:sz w:val="18"/>
              <w:szCs w:val="18"/>
            </w:rPr>
            <w:t>5</w:t>
          </w:r>
          <w:r w:rsidRPr="00C23FAB">
            <w:rPr>
              <w:caps/>
              <w:noProof/>
              <w:color w:val="808080"/>
              <w:sz w:val="18"/>
              <w:szCs w:val="18"/>
            </w:rPr>
            <w:fldChar w:fldCharType="end"/>
          </w:r>
        </w:p>
      </w:tc>
    </w:tr>
  </w:tbl>
  <w:p w14:paraId="005D5A2B" w14:textId="77777777" w:rsidR="00EF167C" w:rsidRDefault="00EF167C" w:rsidP="00EF16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4AE26" w14:textId="77777777" w:rsidR="004307A4" w:rsidRDefault="004307A4" w:rsidP="00EF167C">
      <w:r>
        <w:separator/>
      </w:r>
    </w:p>
  </w:footnote>
  <w:footnote w:type="continuationSeparator" w:id="0">
    <w:p w14:paraId="323B54A4" w14:textId="77777777" w:rsidR="004307A4" w:rsidRDefault="004307A4" w:rsidP="00EF1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2026"/>
    <w:multiLevelType w:val="hybridMultilevel"/>
    <w:tmpl w:val="76DC6F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A6171"/>
    <w:multiLevelType w:val="hybridMultilevel"/>
    <w:tmpl w:val="BC3E3DF8"/>
    <w:lvl w:ilvl="0" w:tplc="916E9BE8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6086EE3"/>
    <w:multiLevelType w:val="multilevel"/>
    <w:tmpl w:val="919EC69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60" w:hanging="1800"/>
      </w:pPr>
      <w:rPr>
        <w:rFonts w:hint="default"/>
      </w:rPr>
    </w:lvl>
  </w:abstractNum>
  <w:abstractNum w:abstractNumId="3" w15:restartNumberingAfterBreak="0">
    <w:nsid w:val="1DD407C2"/>
    <w:multiLevelType w:val="hybridMultilevel"/>
    <w:tmpl w:val="A7DC1AFA"/>
    <w:lvl w:ilvl="0" w:tplc="8E0CE442">
      <w:start w:val="1"/>
      <w:numFmt w:val="bullet"/>
      <w:lvlText w:val="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24300E7B"/>
    <w:multiLevelType w:val="multilevel"/>
    <w:tmpl w:val="F7A8A1B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300D4D"/>
    <w:multiLevelType w:val="hybridMultilevel"/>
    <w:tmpl w:val="D3503F20"/>
    <w:lvl w:ilvl="0" w:tplc="0402000F">
      <w:start w:val="1"/>
      <w:numFmt w:val="decimal"/>
      <w:lvlText w:val="%1."/>
      <w:lvlJc w:val="left"/>
      <w:pPr>
        <w:ind w:left="2149" w:hanging="360"/>
      </w:pPr>
    </w:lvl>
    <w:lvl w:ilvl="1" w:tplc="0402000F">
      <w:start w:val="1"/>
      <w:numFmt w:val="decimal"/>
      <w:lvlText w:val="%2."/>
      <w:lvlJc w:val="left"/>
      <w:pPr>
        <w:ind w:left="2869" w:hanging="360"/>
      </w:pPr>
    </w:lvl>
    <w:lvl w:ilvl="2" w:tplc="43F8F52A">
      <w:start w:val="1"/>
      <w:numFmt w:val="upperLetter"/>
      <w:lvlText w:val="%3."/>
      <w:lvlJc w:val="left"/>
      <w:pPr>
        <w:ind w:left="3769" w:hanging="360"/>
      </w:pPr>
      <w:rPr>
        <w:rFonts w:hint="default"/>
        <w:i/>
      </w:rPr>
    </w:lvl>
    <w:lvl w:ilvl="3" w:tplc="0402000F" w:tentative="1">
      <w:start w:val="1"/>
      <w:numFmt w:val="decimal"/>
      <w:lvlText w:val="%4."/>
      <w:lvlJc w:val="left"/>
      <w:pPr>
        <w:ind w:left="4309" w:hanging="360"/>
      </w:pPr>
    </w:lvl>
    <w:lvl w:ilvl="4" w:tplc="04020019" w:tentative="1">
      <w:start w:val="1"/>
      <w:numFmt w:val="lowerLetter"/>
      <w:lvlText w:val="%5."/>
      <w:lvlJc w:val="left"/>
      <w:pPr>
        <w:ind w:left="5029" w:hanging="360"/>
      </w:pPr>
    </w:lvl>
    <w:lvl w:ilvl="5" w:tplc="0402001B" w:tentative="1">
      <w:start w:val="1"/>
      <w:numFmt w:val="lowerRoman"/>
      <w:lvlText w:val="%6."/>
      <w:lvlJc w:val="right"/>
      <w:pPr>
        <w:ind w:left="5749" w:hanging="180"/>
      </w:pPr>
    </w:lvl>
    <w:lvl w:ilvl="6" w:tplc="0402000F" w:tentative="1">
      <w:start w:val="1"/>
      <w:numFmt w:val="decimal"/>
      <w:lvlText w:val="%7."/>
      <w:lvlJc w:val="left"/>
      <w:pPr>
        <w:ind w:left="6469" w:hanging="360"/>
      </w:pPr>
    </w:lvl>
    <w:lvl w:ilvl="7" w:tplc="04020019" w:tentative="1">
      <w:start w:val="1"/>
      <w:numFmt w:val="lowerLetter"/>
      <w:lvlText w:val="%8."/>
      <w:lvlJc w:val="left"/>
      <w:pPr>
        <w:ind w:left="7189" w:hanging="360"/>
      </w:pPr>
    </w:lvl>
    <w:lvl w:ilvl="8" w:tplc="040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2C8D4A04"/>
    <w:multiLevelType w:val="multilevel"/>
    <w:tmpl w:val="807A713A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Verdana" w:hAnsi="Verdana"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247" w:hanging="680"/>
      </w:pPr>
      <w:rPr>
        <w:rFonts w:ascii="Verdana" w:hAnsi="Verdana" w:cs="Times New Roman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17"/>
        </w:tabs>
        <w:ind w:left="2717" w:hanging="1440"/>
      </w:pPr>
      <w:rPr>
        <w:rFonts w:ascii="Verdana" w:hAnsi="Verdana" w:cs="Times New Roman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ascii="Verdana" w:hAnsi="Verdana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ascii="Verdana" w:hAnsi="Verdana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7" w15:restartNumberingAfterBreak="0">
    <w:nsid w:val="409F42B3"/>
    <w:multiLevelType w:val="hybridMultilevel"/>
    <w:tmpl w:val="FBACA5B2"/>
    <w:lvl w:ilvl="0" w:tplc="040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A465B0"/>
    <w:multiLevelType w:val="hybridMultilevel"/>
    <w:tmpl w:val="74684938"/>
    <w:lvl w:ilvl="0" w:tplc="47E6C140">
      <w:start w:val="2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7506BB"/>
    <w:multiLevelType w:val="hybridMultilevel"/>
    <w:tmpl w:val="B90446DA"/>
    <w:lvl w:ilvl="0" w:tplc="67300E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63840E4B"/>
    <w:multiLevelType w:val="hybridMultilevel"/>
    <w:tmpl w:val="235A7E96"/>
    <w:lvl w:ilvl="0" w:tplc="0402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3B6CE3"/>
    <w:multiLevelType w:val="hybridMultilevel"/>
    <w:tmpl w:val="F7A8A1B8"/>
    <w:lvl w:ilvl="0" w:tplc="C3CC1374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2A3AE2"/>
    <w:multiLevelType w:val="hybridMultilevel"/>
    <w:tmpl w:val="4136109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8404D2"/>
    <w:multiLevelType w:val="multilevel"/>
    <w:tmpl w:val="4D44BAB0"/>
    <w:lvl w:ilvl="0">
      <w:start w:val="1"/>
      <w:numFmt w:val="decimal"/>
      <w:lvlText w:val="%1."/>
      <w:lvlJc w:val="left"/>
      <w:pPr>
        <w:ind w:left="450" w:hanging="450"/>
      </w:pPr>
      <w:rPr>
        <w:rFonts w:cs="Verdana" w:hint="default"/>
        <w:b/>
      </w:rPr>
    </w:lvl>
    <w:lvl w:ilvl="1">
      <w:start w:val="1"/>
      <w:numFmt w:val="decimal"/>
      <w:lvlText w:val="%1.%2."/>
      <w:lvlJc w:val="left"/>
      <w:pPr>
        <w:ind w:left="2133" w:hanging="720"/>
      </w:pPr>
      <w:rPr>
        <w:rFonts w:ascii="Verdana" w:hAnsi="Verdana" w:cs="Verdana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3906" w:hanging="1080"/>
      </w:pPr>
      <w:rPr>
        <w:rFonts w:ascii="Bookman Old Style" w:hAnsi="Bookman Old Style" w:cs="Verdana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5319" w:hanging="1080"/>
      </w:pPr>
      <w:rPr>
        <w:rFonts w:cs="Verdana" w:hint="default"/>
        <w:b/>
      </w:rPr>
    </w:lvl>
    <w:lvl w:ilvl="4">
      <w:start w:val="1"/>
      <w:numFmt w:val="decimal"/>
      <w:lvlText w:val="%1.%2.%3.%4.%5."/>
      <w:lvlJc w:val="left"/>
      <w:pPr>
        <w:ind w:left="7092" w:hanging="1440"/>
      </w:pPr>
      <w:rPr>
        <w:rFonts w:cs="Verdana" w:hint="default"/>
      </w:rPr>
    </w:lvl>
    <w:lvl w:ilvl="5">
      <w:start w:val="1"/>
      <w:numFmt w:val="decimal"/>
      <w:lvlText w:val="%1.%2.%3.%4.%5.%6."/>
      <w:lvlJc w:val="left"/>
      <w:pPr>
        <w:ind w:left="8865" w:hanging="1800"/>
      </w:pPr>
      <w:rPr>
        <w:rFonts w:cs="Verdana" w:hint="default"/>
      </w:rPr>
    </w:lvl>
    <w:lvl w:ilvl="6">
      <w:start w:val="1"/>
      <w:numFmt w:val="decimal"/>
      <w:lvlText w:val="%1.%2.%3.%4.%5.%6.%7."/>
      <w:lvlJc w:val="left"/>
      <w:pPr>
        <w:ind w:left="10638" w:hanging="2160"/>
      </w:pPr>
      <w:rPr>
        <w:rFonts w:cs="Verdana" w:hint="default"/>
      </w:rPr>
    </w:lvl>
    <w:lvl w:ilvl="7">
      <w:start w:val="1"/>
      <w:numFmt w:val="decimal"/>
      <w:lvlText w:val="%1.%2.%3.%4.%5.%6.%7.%8."/>
      <w:lvlJc w:val="left"/>
      <w:pPr>
        <w:ind w:left="12051" w:hanging="2160"/>
      </w:pPr>
      <w:rPr>
        <w:rFonts w:cs="Verdana" w:hint="default"/>
      </w:rPr>
    </w:lvl>
    <w:lvl w:ilvl="8">
      <w:start w:val="1"/>
      <w:numFmt w:val="decimal"/>
      <w:lvlText w:val="%1.%2.%3.%4.%5.%6.%7.%8.%9."/>
      <w:lvlJc w:val="left"/>
      <w:pPr>
        <w:ind w:left="13824" w:hanging="2520"/>
      </w:pPr>
      <w:rPr>
        <w:rFonts w:cs="Verdana" w:hint="default"/>
      </w:rPr>
    </w:lvl>
  </w:abstractNum>
  <w:abstractNum w:abstractNumId="14" w15:restartNumberingAfterBreak="0">
    <w:nsid w:val="74537258"/>
    <w:multiLevelType w:val="multilevel"/>
    <w:tmpl w:val="EE3AB184"/>
    <w:lvl w:ilvl="0">
      <w:start w:val="1"/>
      <w:numFmt w:val="decimal"/>
      <w:lvlText w:val="%1."/>
      <w:lvlJc w:val="left"/>
      <w:pPr>
        <w:ind w:left="2500" w:hanging="1080"/>
      </w:pPr>
    </w:lvl>
    <w:lvl w:ilvl="1">
      <w:start w:val="1"/>
      <w:numFmt w:val="decimal"/>
      <w:isLgl/>
      <w:lvlText w:val="%1.%2."/>
      <w:lvlJc w:val="left"/>
      <w:pPr>
        <w:ind w:left="1780" w:hanging="360"/>
      </w:pPr>
    </w:lvl>
    <w:lvl w:ilvl="2">
      <w:start w:val="1"/>
      <w:numFmt w:val="decimal"/>
      <w:isLgl/>
      <w:lvlText w:val="%1.%2.%3."/>
      <w:lvlJc w:val="left"/>
      <w:pPr>
        <w:ind w:left="2140" w:hanging="720"/>
      </w:pPr>
    </w:lvl>
    <w:lvl w:ilvl="3">
      <w:start w:val="1"/>
      <w:numFmt w:val="decimal"/>
      <w:isLgl/>
      <w:lvlText w:val="%1.%2.%3.%4."/>
      <w:lvlJc w:val="left"/>
      <w:pPr>
        <w:ind w:left="2140" w:hanging="720"/>
      </w:pPr>
    </w:lvl>
    <w:lvl w:ilvl="4">
      <w:start w:val="1"/>
      <w:numFmt w:val="decimal"/>
      <w:isLgl/>
      <w:lvlText w:val="%1.%2.%3.%4.%5."/>
      <w:lvlJc w:val="left"/>
      <w:pPr>
        <w:ind w:left="2500" w:hanging="1080"/>
      </w:pPr>
    </w:lvl>
    <w:lvl w:ilvl="5">
      <w:start w:val="1"/>
      <w:numFmt w:val="decimal"/>
      <w:isLgl/>
      <w:lvlText w:val="%1.%2.%3.%4.%5.%6."/>
      <w:lvlJc w:val="left"/>
      <w:pPr>
        <w:ind w:left="2500" w:hanging="1080"/>
      </w:pPr>
    </w:lvl>
    <w:lvl w:ilvl="6">
      <w:start w:val="1"/>
      <w:numFmt w:val="decimal"/>
      <w:isLgl/>
      <w:lvlText w:val="%1.%2.%3.%4.%5.%6.%7."/>
      <w:lvlJc w:val="left"/>
      <w:pPr>
        <w:ind w:left="2860" w:hanging="1440"/>
      </w:pPr>
    </w:lvl>
    <w:lvl w:ilvl="7">
      <w:start w:val="1"/>
      <w:numFmt w:val="decimal"/>
      <w:isLgl/>
      <w:lvlText w:val="%1.%2.%3.%4.%5.%6.%7.%8."/>
      <w:lvlJc w:val="left"/>
      <w:pPr>
        <w:ind w:left="2860" w:hanging="1440"/>
      </w:p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2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4"/>
  </w:num>
  <w:num w:numId="13">
    <w:abstractNumId w:val="13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7"/>
    <w:rsid w:val="0003196B"/>
    <w:rsid w:val="00037495"/>
    <w:rsid w:val="000643F1"/>
    <w:rsid w:val="00071C0F"/>
    <w:rsid w:val="00076273"/>
    <w:rsid w:val="00077D2C"/>
    <w:rsid w:val="000E0919"/>
    <w:rsid w:val="001055A3"/>
    <w:rsid w:val="00114F91"/>
    <w:rsid w:val="00143997"/>
    <w:rsid w:val="001579F8"/>
    <w:rsid w:val="00180102"/>
    <w:rsid w:val="00202C72"/>
    <w:rsid w:val="002466F1"/>
    <w:rsid w:val="002A018F"/>
    <w:rsid w:val="002A41E3"/>
    <w:rsid w:val="002B1D74"/>
    <w:rsid w:val="00337667"/>
    <w:rsid w:val="0035105C"/>
    <w:rsid w:val="00395623"/>
    <w:rsid w:val="003A45A9"/>
    <w:rsid w:val="003B30F4"/>
    <w:rsid w:val="003D1237"/>
    <w:rsid w:val="00407C28"/>
    <w:rsid w:val="00412E21"/>
    <w:rsid w:val="004149C3"/>
    <w:rsid w:val="004224D2"/>
    <w:rsid w:val="004307A4"/>
    <w:rsid w:val="00432FD8"/>
    <w:rsid w:val="00444C29"/>
    <w:rsid w:val="004B5AEC"/>
    <w:rsid w:val="004D7536"/>
    <w:rsid w:val="00605939"/>
    <w:rsid w:val="00687101"/>
    <w:rsid w:val="00692C62"/>
    <w:rsid w:val="006A4809"/>
    <w:rsid w:val="006A4CED"/>
    <w:rsid w:val="006A5E7D"/>
    <w:rsid w:val="006E22C3"/>
    <w:rsid w:val="00723F6D"/>
    <w:rsid w:val="00736877"/>
    <w:rsid w:val="007B5300"/>
    <w:rsid w:val="007D00BB"/>
    <w:rsid w:val="007E3CF9"/>
    <w:rsid w:val="008B64CD"/>
    <w:rsid w:val="008C5744"/>
    <w:rsid w:val="008C6DD9"/>
    <w:rsid w:val="008F2348"/>
    <w:rsid w:val="008F521A"/>
    <w:rsid w:val="00904EBE"/>
    <w:rsid w:val="009B4C77"/>
    <w:rsid w:val="009B588C"/>
    <w:rsid w:val="00A32106"/>
    <w:rsid w:val="00A67B65"/>
    <w:rsid w:val="00A71F7B"/>
    <w:rsid w:val="00AA67EB"/>
    <w:rsid w:val="00AD7C19"/>
    <w:rsid w:val="00AF2BDC"/>
    <w:rsid w:val="00AF4705"/>
    <w:rsid w:val="00B54B29"/>
    <w:rsid w:val="00B62486"/>
    <w:rsid w:val="00BB268B"/>
    <w:rsid w:val="00BC401A"/>
    <w:rsid w:val="00BE047B"/>
    <w:rsid w:val="00BE4CE6"/>
    <w:rsid w:val="00C0343C"/>
    <w:rsid w:val="00C152B8"/>
    <w:rsid w:val="00C30CB7"/>
    <w:rsid w:val="00C665CD"/>
    <w:rsid w:val="00C876C4"/>
    <w:rsid w:val="00D036CD"/>
    <w:rsid w:val="00D05369"/>
    <w:rsid w:val="00D15BAC"/>
    <w:rsid w:val="00D54D43"/>
    <w:rsid w:val="00D95648"/>
    <w:rsid w:val="00DA38DD"/>
    <w:rsid w:val="00DB1321"/>
    <w:rsid w:val="00DB46F3"/>
    <w:rsid w:val="00E125C7"/>
    <w:rsid w:val="00E13A32"/>
    <w:rsid w:val="00E2310F"/>
    <w:rsid w:val="00E24261"/>
    <w:rsid w:val="00E56CEE"/>
    <w:rsid w:val="00E618B2"/>
    <w:rsid w:val="00E86A37"/>
    <w:rsid w:val="00E94EAF"/>
    <w:rsid w:val="00EA336E"/>
    <w:rsid w:val="00EA604F"/>
    <w:rsid w:val="00EC2659"/>
    <w:rsid w:val="00EE6593"/>
    <w:rsid w:val="00EE665C"/>
    <w:rsid w:val="00EF167C"/>
    <w:rsid w:val="00F04A5B"/>
    <w:rsid w:val="00F06836"/>
    <w:rsid w:val="00F14FC6"/>
    <w:rsid w:val="00F21404"/>
    <w:rsid w:val="00F355DD"/>
    <w:rsid w:val="00F53232"/>
    <w:rsid w:val="00FA3AE0"/>
    <w:rsid w:val="00FB761B"/>
    <w:rsid w:val="00FB7ABB"/>
    <w:rsid w:val="00FD4B9A"/>
    <w:rsid w:val="00FF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0B242DC"/>
  <w15:docId w15:val="{1D7BA969-09D1-4BD5-B597-BF4F9217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466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25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66F1"/>
    <w:rPr>
      <w:rFonts w:ascii="Times New Roman" w:eastAsia="Times New Roman" w:hAnsi="Times New Roman" w:cs="Times New Roman"/>
      <w:b/>
      <w:sz w:val="28"/>
      <w:szCs w:val="24"/>
      <w:lang w:val="en-US"/>
    </w:rPr>
  </w:style>
  <w:style w:type="character" w:customStyle="1" w:styleId="Heading20">
    <w:name w:val="Heading #2_"/>
    <w:link w:val="Heading21"/>
    <w:uiPriority w:val="99"/>
    <w:locked/>
    <w:rsid w:val="007B5300"/>
    <w:rPr>
      <w:rFonts w:ascii="Times New Roman" w:hAnsi="Times New Roman"/>
      <w:b/>
      <w:shd w:val="clear" w:color="auto" w:fill="FFFFFF"/>
    </w:rPr>
  </w:style>
  <w:style w:type="character" w:customStyle="1" w:styleId="Bodytext2Spacing1pt">
    <w:name w:val="Body text (2) + Spacing 1 pt"/>
    <w:uiPriority w:val="99"/>
    <w:rsid w:val="007B5300"/>
    <w:rPr>
      <w:rFonts w:ascii="Times New Roman" w:hAnsi="Times New Roman"/>
      <w:color w:val="000000"/>
      <w:spacing w:val="20"/>
      <w:w w:val="100"/>
      <w:position w:val="0"/>
      <w:sz w:val="22"/>
      <w:u w:val="none"/>
      <w:lang w:val="bg-BG" w:eastAsia="bg-BG"/>
    </w:rPr>
  </w:style>
  <w:style w:type="character" w:customStyle="1" w:styleId="Bodytext5NotBold">
    <w:name w:val="Body text (5) + Not Bold"/>
    <w:uiPriority w:val="99"/>
    <w:rsid w:val="007B5300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bg-BG"/>
    </w:rPr>
  </w:style>
  <w:style w:type="paragraph" w:customStyle="1" w:styleId="Heading21">
    <w:name w:val="Heading #2"/>
    <w:basedOn w:val="Normal"/>
    <w:link w:val="Heading20"/>
    <w:uiPriority w:val="99"/>
    <w:rsid w:val="007B5300"/>
    <w:pPr>
      <w:widowControl w:val="0"/>
      <w:shd w:val="clear" w:color="auto" w:fill="FFFFFF"/>
      <w:spacing w:before="240" w:after="240" w:line="274" w:lineRule="exact"/>
      <w:jc w:val="both"/>
      <w:outlineLvl w:val="1"/>
    </w:pPr>
    <w:rPr>
      <w:rFonts w:eastAsiaTheme="minorHAnsi" w:cstheme="minorBidi"/>
      <w:b/>
      <w:sz w:val="22"/>
      <w:szCs w:val="22"/>
      <w:lang w:val="bg-BG"/>
    </w:rPr>
  </w:style>
  <w:style w:type="paragraph" w:styleId="ListParagraph">
    <w:name w:val="List Paragraph"/>
    <w:aliases w:val="ПАРАГРАФ,Numbered list"/>
    <w:basedOn w:val="Normal"/>
    <w:link w:val="ListParagraphChar"/>
    <w:uiPriority w:val="34"/>
    <w:qFormat/>
    <w:rsid w:val="007B5300"/>
    <w:pPr>
      <w:ind w:left="720"/>
      <w:contextualSpacing/>
    </w:pPr>
  </w:style>
  <w:style w:type="paragraph" w:styleId="BodyText">
    <w:name w:val="Body Text"/>
    <w:basedOn w:val="Normal"/>
    <w:link w:val="BodyTextChar"/>
    <w:rsid w:val="006E22C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E22C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aliases w:val="Footer1,Footer1 Char Char,Footer1 Char Знак,Footer1 Char Знак Знак"/>
    <w:basedOn w:val="Normal"/>
    <w:link w:val="FooterChar"/>
    <w:uiPriority w:val="99"/>
    <w:rsid w:val="008C5744"/>
    <w:pPr>
      <w:tabs>
        <w:tab w:val="center" w:pos="4153"/>
        <w:tab w:val="right" w:pos="8306"/>
      </w:tabs>
    </w:pPr>
    <w:rPr>
      <w:rFonts w:ascii="HebarU" w:hAnsi="HebarU"/>
      <w:szCs w:val="20"/>
      <w:lang w:val="bg-BG"/>
    </w:rPr>
  </w:style>
  <w:style w:type="character" w:customStyle="1" w:styleId="FooterChar">
    <w:name w:val="Footer Char"/>
    <w:aliases w:val="Footer1 Char,Footer1 Char Char Char,Footer1 Char Знак Char,Footer1 Char Знак Знак Char"/>
    <w:basedOn w:val="DefaultParagraphFont"/>
    <w:link w:val="Footer"/>
    <w:uiPriority w:val="99"/>
    <w:rsid w:val="008C5744"/>
    <w:rPr>
      <w:rFonts w:ascii="HebarU" w:eastAsia="Times New Roman" w:hAnsi="HebarU" w:cs="Times New Roman"/>
      <w:sz w:val="24"/>
      <w:szCs w:val="20"/>
    </w:rPr>
  </w:style>
  <w:style w:type="character" w:customStyle="1" w:styleId="Bodytext2">
    <w:name w:val="Body text (2)_"/>
    <w:link w:val="Bodytext20"/>
    <w:uiPriority w:val="99"/>
    <w:locked/>
    <w:rsid w:val="008C5744"/>
    <w:rPr>
      <w:rFonts w:ascii="Times New Roman" w:hAnsi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8C5744"/>
    <w:pPr>
      <w:widowControl w:val="0"/>
      <w:shd w:val="clear" w:color="auto" w:fill="FFFFFF"/>
      <w:spacing w:before="240" w:line="274" w:lineRule="exact"/>
      <w:jc w:val="both"/>
    </w:pPr>
    <w:rPr>
      <w:rFonts w:eastAsiaTheme="minorHAnsi" w:cstheme="minorBidi"/>
      <w:sz w:val="22"/>
      <w:szCs w:val="22"/>
      <w:lang w:val="bg-BG"/>
    </w:rPr>
  </w:style>
  <w:style w:type="paragraph" w:styleId="BodyTextIndent3">
    <w:name w:val="Body Text Indent 3"/>
    <w:aliases w:val="Char Char,Char Char Char"/>
    <w:basedOn w:val="Normal"/>
    <w:link w:val="BodyTextIndent3Char"/>
    <w:uiPriority w:val="99"/>
    <w:rsid w:val="008C5744"/>
    <w:pPr>
      <w:spacing w:after="120"/>
      <w:ind w:left="283"/>
    </w:pPr>
    <w:rPr>
      <w:sz w:val="16"/>
      <w:szCs w:val="16"/>
      <w:lang w:eastAsia="bg-BG"/>
    </w:rPr>
  </w:style>
  <w:style w:type="character" w:customStyle="1" w:styleId="BodyTextIndent3Char">
    <w:name w:val="Body Text Indent 3 Char"/>
    <w:aliases w:val="Char Char Char1,Char Char Char Char"/>
    <w:basedOn w:val="DefaultParagraphFont"/>
    <w:link w:val="BodyTextIndent3"/>
    <w:uiPriority w:val="99"/>
    <w:rsid w:val="008C5744"/>
    <w:rPr>
      <w:rFonts w:ascii="Times New Roman" w:eastAsia="Times New Roman" w:hAnsi="Times New Roman" w:cs="Times New Roman"/>
      <w:sz w:val="16"/>
      <w:szCs w:val="16"/>
      <w:lang w:val="en-US" w:eastAsia="bg-BG"/>
    </w:rPr>
  </w:style>
  <w:style w:type="character" w:styleId="Hyperlink">
    <w:name w:val="Hyperlink"/>
    <w:uiPriority w:val="99"/>
    <w:rsid w:val="00444C29"/>
    <w:rPr>
      <w:color w:val="0000FF"/>
      <w:u w:val="single"/>
    </w:rPr>
  </w:style>
  <w:style w:type="character" w:customStyle="1" w:styleId="135pt">
    <w:name w:val="Основен текст + 13.5 pt"/>
    <w:aliases w:val="Удебелен"/>
    <w:rsid w:val="00C665CD"/>
    <w:rPr>
      <w:rFonts w:ascii="Times New Roman" w:hAnsi="Times New Roman"/>
      <w:b/>
      <w:spacing w:val="0"/>
      <w:sz w:val="27"/>
    </w:rPr>
  </w:style>
  <w:style w:type="character" w:customStyle="1" w:styleId="ListParagraphChar">
    <w:name w:val="List Paragraph Char"/>
    <w:aliases w:val="ПАРАГРАФ Char,Numbered list Char"/>
    <w:link w:val="ListParagraph"/>
    <w:uiPriority w:val="34"/>
    <w:qFormat/>
    <w:locked/>
    <w:rsid w:val="001579F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51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0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05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1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05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0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05C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25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16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67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eurocom2000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Borisova@sofiyskavoda.b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ocurement.sofiyskavoda.bg/documents.aspx?zop=168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ds-bg.org/standard/info.php?natstd_id=625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F67B1-EFCF-4E05-8784-5D196573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N/A</dc:creator>
  <cp:keywords/>
  <dc:description/>
  <cp:lastModifiedBy>Borisova, Zvezdelina</cp:lastModifiedBy>
  <cp:revision>3</cp:revision>
  <cp:lastPrinted>2020-02-14T12:53:00Z</cp:lastPrinted>
  <dcterms:created xsi:type="dcterms:W3CDTF">2020-02-17T09:54:00Z</dcterms:created>
  <dcterms:modified xsi:type="dcterms:W3CDTF">2020-02-17T09:56:00Z</dcterms:modified>
</cp:coreProperties>
</file>